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Расходы. Доходы. Бюджет.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Как начать управлять деньгами.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Банковские карты.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Банковские вклады.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Зачем делать сбережения?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Как сохранить и преумножить сбережения.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Финансовые цели, планирование.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Кредиты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Cqmt5RTUNaw" TargetMode="External"/><Relationship Id="rId10" Type="http://schemas.openxmlformats.org/officeDocument/2006/relationships/hyperlink" Target="https://www.youtube.com/watch?v=L_i_zgAnbJQ" TargetMode="External"/><Relationship Id="rId13" Type="http://schemas.openxmlformats.org/officeDocument/2006/relationships/hyperlink" Target="https://www.youtube.com/watch?v=CN2p05fWlxw" TargetMode="External"/><Relationship Id="rId12" Type="http://schemas.openxmlformats.org/officeDocument/2006/relationships/hyperlink" Target="https://www.youtube.com/watch?v=58Q03oumo2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4ovJHjuBS8" TargetMode="External"/><Relationship Id="rId14" Type="http://schemas.openxmlformats.org/officeDocument/2006/relationships/hyperlink" Target="https://www.youtube.com/watch?v=VODL334XpyQ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a6d-_r2PIbs&amp;t=1s" TargetMode="External"/><Relationship Id="rId8" Type="http://schemas.openxmlformats.org/officeDocument/2006/relationships/hyperlink" Target="https://www.youtube.com/watch?v=OCjI6oaPql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