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80"/>
      </w:pPr>
      <w:r>
        <w:rPr>
          <w:b/>
          <w:bCs/>
          <w:color w:val="01696F"/>
          <w:sz w:val="56"/>
          <w:szCs w:val="56"/>
        </w:rPr>
        <w:t xml:space="preserve">ФинПульс</w:t>
      </w:r>
    </w:p>
    <w:p>
      <w:pPr>
        <w:spacing w:after="40"/>
      </w:pPr>
      <w:r>
        <w:rPr>
          <w:b/>
          <w:bCs/>
          <w:color w:val="28251D"/>
          <w:sz w:val="40"/>
          <w:szCs w:val="40"/>
        </w:rPr>
        <w:t xml:space="preserve">ИИ-Методист: регламент подготовки уроков</w:t>
      </w:r>
    </w:p>
    <w:p>
      <w:pPr>
        <w:spacing w:after="320"/>
      </w:pPr>
      <w:r>
        <w:rPr>
          <w:i/>
          <w:iCs/>
          <w:color w:val="6B6A64"/>
          <w:sz w:val="22"/>
          <w:szCs w:val="22"/>
        </w:rPr>
        <w:t xml:space="preserve">Операционный документ для ИИ-агента, готовящего уроки Уровня 1 к загрузке в приложение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1696F" w:sz="1"/>
              <w:left w:val="single" w:color="01696F" w:sz="24"/>
              <w:bottom w:val="single" w:color="01696F" w:sz="1"/>
              <w:right w:val="single" w:color="01696F" w:sz="1"/>
            </w:tcBorders>
            <w:shd w:fill="E3EF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01696F"/>
              </w:rPr>
              <w:t xml:space="preserve">Что это за документ</w:t>
            </w:r>
          </w:p>
          <w:p>
            <w:pPr>
              <w:spacing w:after="30" w:line="264"/>
            </w:pPr>
            <w:r>
              <w:t xml:space="preserve">Это рабочий регламент роли «ИИ-Методист». Он отвечает только за одно: подготовку учебных уроков (восьми экранов) к загрузке в приложение.</w:t>
            </w:r>
          </w:p>
          <w:p>
            <w:pPr>
              <w:spacing w:after="30" w:line="264"/>
            </w:pPr>
            <w:r>
              <w:t xml:space="preserve">Документ выделен из общей «Методической рамки ФинПульс», чтобы отделить авторство уроков от других задач — диагностики, B2B-аналитики и механики челленджей. Источник истины и стратегия остаются в Методической рамке; здесь — только инструкция по сборке урока.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964219" w:sz="1"/>
              <w:left w:val="single" w:color="964219" w:sz="24"/>
              <w:bottom w:val="single" w:color="964219" w:sz="1"/>
              <w:right w:val="single" w:color="964219" w:sz="1"/>
            </w:tcBorders>
            <w:shd w:fill="F6ECE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964219"/>
              </w:rPr>
              <w:t xml:space="preserve">Граница ответственности роли</w:t>
            </w:r>
          </w:p>
          <w:p>
            <w:pPr>
              <w:spacing w:after="30" w:line="264"/>
            </w:pPr>
            <w:r>
              <w:rPr>
                <w:b/>
                <w:bCs/>
                <w:color w:val="01696F"/>
              </w:rPr>
              <w:t xml:space="preserve">ИИ-Методист ДЕЛАЕТ: </w:t>
            </w:r>
            <w:r>
              <w:t xml:space="preserve">берёт утверждённую тему урока и источник, заполняет lesson design brief, собирает ровно восемь экранов, выдаёт по каждому экрану описание + валидный JSON-card, проходит QA-чек-листы.</w:t>
            </w:r>
          </w:p>
          <w:p>
            <w:pPr>
              <w:spacing w:after="30" w:line="264"/>
            </w:pPr>
            <w:r>
              <w:rPr>
                <w:b/>
                <w:bCs/>
                <w:color w:val="964219"/>
              </w:rPr>
              <w:t xml:space="preserve">ИИ-Методист НЕ ДЕЛАЕТ: </w:t>
            </w:r>
            <w:r>
              <w:t xml:space="preserve">не проектирует входную диагностику и психотипирование, не считает B2B-аналитику, не придумывает механику челленджей и напоминаний, не меняет программу уровней и разделов. Эти задачи — у других ролей и в Методической рамке.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0. Терминология и иерархия (обязательно)</w:t>
      </w:r>
    </w:p>
    <w:p>
      <w:pPr>
        <w:spacing w:after="120" w:line="276"/>
      </w:pPr>
      <w:r>
        <w:t xml:space="preserve">ИИ-Методист использует только принятую терминологию. Старые термины запрещены в любых формулировках, заголовках и подписях.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46"/>
        <w:gridCol w:w="2500"/>
      </w:tblGrid>
      <w:tr>
        <w:trPr>
          <w:tblHeader/>
        </w:trPr>
        <w:tc>
          <w:tcPr>
            <w:tcW w:type="dxa" w:w="22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Уровень иерархии</w:t>
            </w:r>
          </w:p>
        </w:tc>
        <w:tc>
          <w:tcPr>
            <w:tcW w:type="dxa" w:w="5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Что это</w:t>
            </w:r>
          </w:p>
        </w:tc>
        <w:tc>
          <w:tcPr>
            <w:tcW w:type="dxa" w:w="25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Запрещённые синонимы</w:t>
            </w:r>
          </w:p>
        </w:tc>
      </w:tr>
      <w:tr>
        <w:tc>
          <w:tcPr>
            <w:tcW w:type="dxa" w:w="22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Программа</w:t>
            </w:r>
          </w:p>
        </w:tc>
        <w:tc>
          <w:tcPr>
            <w:tcW w:type="dxa" w:w="5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Весь курс ФинПульс.</w:t>
            </w:r>
          </w:p>
        </w:tc>
        <w:tc>
          <w:tcPr>
            <w:tcW w:type="dxa" w:w="25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Уровень (1–5)</w:t>
            </w:r>
          </w:p>
        </w:tc>
        <w:tc>
          <w:tcPr>
            <w:tcW w:type="dxa" w:w="5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Ступень владения: Старт, Опора, Уверенный, Стратег, Наставник.</w:t>
            </w:r>
          </w:p>
        </w:tc>
        <w:tc>
          <w:tcPr>
            <w:tcW w:type="dxa" w:w="25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«ТИР», «Tier»</w:t>
            </w:r>
          </w:p>
        </w:tc>
      </w:tr>
      <w:tr>
        <w:tc>
          <w:tcPr>
            <w:tcW w:type="dxa" w:w="22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Раздел</w:t>
            </w:r>
          </w:p>
        </w:tc>
        <w:tc>
          <w:tcPr>
            <w:tcW w:type="dxa" w:w="5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Тематический блок уроков внутри уровня.</w:t>
            </w:r>
          </w:p>
        </w:tc>
        <w:tc>
          <w:tcPr>
            <w:tcW w:type="dxa" w:w="25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«Модуль», «Юнит», «Unit»</w:t>
            </w:r>
          </w:p>
        </w:tc>
      </w:tr>
      <w:tr>
        <w:tc>
          <w:tcPr>
            <w:tcW w:type="dxa" w:w="22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Урок</w:t>
            </w:r>
          </w:p>
        </w:tc>
        <w:tc>
          <w:tcPr>
            <w:tcW w:type="dxa" w:w="5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Единица обучения 3–5 минут = восемь экранов.</w:t>
            </w:r>
          </w:p>
        </w:tc>
        <w:tc>
          <w:tcPr>
            <w:tcW w:type="dxa" w:w="25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Карточка (экран)</w:t>
            </w:r>
          </w:p>
        </w:tc>
        <w:tc>
          <w:tcPr>
            <w:tcW w:type="dxa" w:w="5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Один экран урока = один JSON-объект в lesson.cards.</w:t>
            </w:r>
          </w:p>
        </w:tc>
        <w:tc>
          <w:tcPr>
            <w:tcW w:type="dxa" w:w="25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1696F" w:sz="1"/>
              <w:left w:val="single" w:color="01696F" w:sz="24"/>
              <w:bottom w:val="single" w:color="01696F" w:sz="1"/>
              <w:right w:val="single" w:color="01696F" w:sz="1"/>
            </w:tcBorders>
            <w:shd w:fill="E3EF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01696F"/>
              </w:rPr>
              <w:t xml:space="preserve">Правила именования и ссылок</w:t>
            </w:r>
          </w:p>
          <w:p>
            <w:pPr>
              <w:spacing w:after="30" w:line="264"/>
            </w:pPr>
            <w:r>
              <w:t xml:space="preserve">Иерархия строго: Программа → Уровень → Раздел → Урок → Карточка.</w:t>
            </w:r>
          </w:p>
          <w:p>
            <w:pPr>
              <w:spacing w:after="30" w:line="264"/>
            </w:pPr>
            <w:r>
              <w:t xml:space="preserve">Ссылка на урок даётся понятным названием и адресом вида «Уровень 1 · Раздел 1 · Урок 3. Название». Сокращения вроде «У2.1» не используются.</w:t>
            </w:r>
          </w:p>
          <w:p>
            <w:pPr>
              <w:spacing w:after="30" w:line="264"/>
            </w:pPr>
            <w:r>
              <w:t xml:space="preserve">Сущность «Видео» не используется — на текущем этапе она не нужна. Теория и примеры подаются текстом.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Поток работы ИИ-Методиста</w:t>
      </w:r>
    </w:p>
    <w:p>
      <w:pPr>
        <w:spacing w:after="120" w:line="276"/>
      </w:pPr>
      <w:r>
        <w:t xml:space="preserve">Подготовка одного урока идёт строго по шагам. Пропускать шаг 1 (brief) нельзя — иначе шаблон заполняется механически.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Получить вход: тему урока, его место (Уровень, Раздел, номер), источник содержания (сохранённый Markdown) и связь с соседними уроками.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Заполнить lesson design brief — короткое методическое решение урока (раздел 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Разложить урок на восемь экранов по фиксированной последовательности (раздел 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Для каждого экрана выдать два блока подряд: человеческое описание + один валидный JSON-card (раздел 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Собрать JSON-cards в массив lesson.cards в порядке order от 1 до 8.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Пройти QA-чек-листы (раздел 6) и заменить все плейсхолдеры реальными данными до передачи в разработку.</w:t>
      </w:r>
    </w:p>
    <w:p>
      <w:pPr>
        <w:spacing w:after="1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1696F" w:sz="1"/>
              <w:left w:val="single" w:color="01696F" w:sz="24"/>
              <w:bottom w:val="single" w:color="01696F" w:sz="1"/>
              <w:right w:val="single" w:color="01696F" w:sz="1"/>
            </w:tcBorders>
            <w:shd w:fill="E3EF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01696F"/>
              </w:rPr>
              <w:t xml:space="preserve">Главные ограничения формата урока</w:t>
            </w:r>
          </w:p>
          <w:p>
            <w:pPr>
              <w:spacing w:after="30" w:line="264"/>
            </w:pPr>
            <w:r>
              <w:t xml:space="preserve">Урок — 3–5 минут. Одна главная мысль. Взаимодействие в первые 30–60 секунд. Никаких длинных лекций.</w:t>
            </w:r>
          </w:p>
          <w:p>
            <w:pPr>
              <w:spacing w:after="30" w:line="264"/>
            </w:pPr>
            <w:r>
              <w:t xml:space="preserve">Уровень 1 = ровно 8 экранов, порядок фиксирован и не нарушается.</w:t>
            </w:r>
          </w:p>
          <w:p>
            <w:pPr>
              <w:spacing w:after="30" w:line="264"/>
            </w:pPr>
            <w:r>
              <w:t xml:space="preserve">Экран 3 — только категориальная сортировка (никогда не одиночный/множественный выбор). Экран 4 — внешний пример, не личные данные. Личные ответы (экраны 5 и 6) не оцениваются как верные/неверные.</w:t>
            </w:r>
          </w:p>
          <w:p>
            <w:pPr>
              <w:spacing w:after="30" w:line="264" w:lineRule="auto"/>
            </w:pPr>
            <w:r>
              <w:rPr/>
              <w:t>Если в таблице экрана есть строка «Кнопка», переходный текст записывается в ctaLabel на экранах 1–7. Экран 8 завершает урок системной кнопкой.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Предварительный lesson design brief</w:t>
      </w:r>
    </w:p>
    <w:p>
      <w:pPr>
        <w:spacing w:after="120" w:line="276"/>
      </w:pPr>
      <w:r>
        <w:t xml:space="preserve">Перед сборкой восьми экранов ИИ-Методист сначала заполняет lesson design brief — короткое методическое решение урока. Brief не заменяет карточки и не попадает в runtime JSON; он нужен, чтобы агент не заполнял шаблон механически.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Место урока: </w:t>
      </w:r>
      <w:r>
        <w:t xml:space="preserve">Уровень, Раздел, номер урока, связь с предыдущим и следующим уроком.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Цель на 3–5 минут: </w:t>
      </w:r>
      <w:r>
        <w:t xml:space="preserve">что пользователь сможет понять, различить или сделать после урока.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Главное различие урока: </w:t>
      </w:r>
      <w:r>
        <w:t xml:space="preserve">одна идея или навык, который тренирует экран 3.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Типичная ошибка или риск непонимания: </w:t>
      </w:r>
      <w:r>
        <w:t xml:space="preserve">какой ошибочный ход должен исправить feedback.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Real World A: </w:t>
      </w:r>
      <w:r>
        <w:t xml:space="preserve">внешний пример, официальный источник или жизненная ситуация для экрана 4; указать, нужна ли статистика.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Real World B: </w:t>
      </w:r>
      <w:r>
        <w:t xml:space="preserve">маленький личный артефакт на данных пользователя для экрана 5, без оценки как верно/неверно.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Личная рефлексия: </w:t>
      </w:r>
      <w:r>
        <w:t xml:space="preserve">безопасный вопрос для экрана 6 и набор вариантов плюс «Свой вариант».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Микро-правило: </w:t>
      </w:r>
      <w:r>
        <w:t xml:space="preserve">один конкретный первый шаг; на экране 7 будут ровно две готовые variants плюс customOption.label «Свой вариант».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Поведенческий мостик: </w:t>
      </w:r>
      <w:r>
        <w:t xml:space="preserve">зачем сохранённый результат пригодится в следующем уроке или разделе.</w:t>
      </w:r>
    </w:p>
    <w:p>
      <w:pPr>
        <w:spacing w:after="80"/>
      </w:pPr>
      <w:r>
        <w:t xml:space="preserve"/>
      </w:r>
    </w:p>
    <w:p>
      <w:pPr>
        <w:spacing w:after="60" w:line="276"/>
      </w:pPr>
      <w:r>
        <w:t xml:space="preserve">После brief ИИ-Методист описывает урок по единому шаблону: название и место в курсе; цель на 3–5 минут, главный навык, тип мышления, проверяемость; структура из 8 экранов; обратная связь для верного, типового ошибочного и субъективного ответа; артефакт пользователя; поведенческий мостик; момент возврата.</w:t>
      </w:r>
    </w:p>
    <w:p>
      <w:r>
        <w:br w:type="page"/>
      </w:r>
    </w:p>
    <w:p>
      <w:pPr>
        <w:pStyle w:val="Heading1"/>
      </w:pPr>
      <w:r>
        <w:t xml:space="preserve">3. Восемь экранов урока Уровня 1</w:t>
      </w:r>
    </w:p>
    <w:p>
      <w:pPr>
        <w:spacing w:after="120" w:line="276"/>
      </w:pPr>
      <w:r>
        <w:t xml:space="preserve">Урок раскладывается на восемь экранов в фиксированном порядке. Для каждого экрана заданы назначение, тип взаимодействия, обязательные элементы, что делать нельзя и мини-пример.</w:t>
      </w:r>
    </w:p>
    <w:p>
      <w:pPr>
        <w:pStyle w:val="Heading3"/>
      </w:pPr>
      <w:r>
        <w:t xml:space="preserve">Экран 1. Зацепка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Содержание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Втянуть в тему через узнаваемую жизненную ситуацию и снять тревогу. Точка входа, а не проверка.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Тип взаимодействия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Мягкий одиночный выбор без правильного ответа (любой вариант принимается).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Обязательные элементы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Заголовок экрана (1 строка, разговорный).</w:t>
            </w:r>
          </w:p>
          <w:p>
            <w:pPr>
              <w:spacing w:after="30" w:line="248"/>
            </w:pPr>
            <w:r>
              <w:t xml:space="preserve">• Короткая ситуация-крючок: 1–2 предложения от лица пользователя («Вы…»).</w:t>
            </w:r>
          </w:p>
          <w:p>
            <w:pPr>
              <w:spacing w:after="30" w:line="248"/>
            </w:pPr>
            <w:r>
              <w:t xml:space="preserve">• 2–4 варианта-ответа, среди которых НЕТ верного — все равнозначны.</w:t>
            </w:r>
          </w:p>
          <w:p>
            <w:pPr>
              <w:spacing w:after="30" w:line="248"/>
            </w:pPr>
            <w:r>
              <w:rPr/>
              <w:t>• Отдельный feedback на каждый вариант выбора (без оценки и намёка на правильность).</w:t>
            </w:r>
          </w:p>
          <w:p>
            <w:pPr>
              <w:spacing w:after="30" w:line="248"/>
            </w:pPr>
            <w:r>
              <w:rPr/>
              <w:t>• Микро-копи кнопки: «Дальше» / «Продолжить»; этот текст хранится в ctaLabel.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</w:rPr>
              <w:t>Markdown-поля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t>question; options[].feedback.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Чего нельзя делать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Нельзя задавать вопрос с правильным ответом или тест.</w:t>
            </w:r>
          </w:p>
          <w:p>
            <w:pPr>
              <w:spacing w:after="30" w:line="248"/>
            </w:pPr>
            <w:r>
              <w:t xml:space="preserve">• Нельзя давать теорию или термины — это делает экран 2.</w:t>
            </w:r>
          </w:p>
          <w:p>
            <w:pPr>
              <w:spacing w:after="30" w:line="248"/>
            </w:pPr>
            <w:r>
              <w:t xml:space="preserve">• Нельзя стыдить за выбор или намекать, что вариант «неправильный».</w:t>
            </w:r>
          </w:p>
          <w:p>
            <w:pPr>
              <w:spacing w:after="30" w:line="248" w:lineRule="auto"/>
            </w:pPr>
            <w:r>
              <w:rPr/>
              <w:t>• Нельзя выносить один общий feedback на карточку вместо feedback у каждого варианта.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Мини-пример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«Зарплата пришла 5-го, а к 20-му денег нет. Что чаще всего съедает остаток?» Варианты: кафе и доставка · подписки · спонтанные покупки · не знаю.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Экран 2. Мини-теория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Содержание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Дать ровно одну главную мысль урока. Один экран — одна идея.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Тип взаимодействия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Чтение. Без выбора и без проверки (кнопка «Понятно»).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Обязательные элементы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Заголовок-формулировка главной мысли.</w:t>
            </w:r>
          </w:p>
          <w:p>
            <w:pPr>
              <w:spacing w:after="30" w:line="248"/>
            </w:pPr>
            <w:r>
              <w:t xml:space="preserve">• Одна идея: почему так и что будет, если… (3–5 коротких строк).</w:t>
            </w:r>
          </w:p>
          <w:p>
            <w:pPr>
              <w:spacing w:after="30" w:line="248"/>
            </w:pPr>
            <w:r>
              <w:t xml:space="preserve">• Один пример или факт-иллюстрация (для быстро меняющихся чисел — указать источник, а не само число).</w:t>
            </w:r>
          </w:p>
          <w:p>
            <w:pPr>
              <w:spacing w:after="30" w:line="248"/>
            </w:pPr>
            <w:r>
              <w:t xml:space="preserve">• Опционально: 1 ключевой термин с короткой расшифровкой.</w:t>
            </w:r>
          </w:p>
          <w:p>
            <w:pPr>
              <w:spacing w:after="30" w:line="248"/>
            </w:pPr>
            <w:r>
              <w:t xml:space="preserve">• Микро-копи кнопки: «Понятно» / «Дальше».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</w:rPr>
              <w:t>Markdown-поля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t>body. Факт, пример, формула или простой тест входят в body обычным абзацем, без отдельной renderer-структуры.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Чего нельзя делать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Нельзя давать больше одной идеи (вторая идея — это другой урок).</w:t>
            </w:r>
          </w:p>
          <w:p>
            <w:pPr>
              <w:spacing w:after="30" w:line="248"/>
            </w:pPr>
            <w:r>
              <w:t xml:space="preserve">• Нельзя заучивать актуальные цифры (ставки, лимиты) — учим находить источник.</w:t>
            </w:r>
          </w:p>
          <w:p>
            <w:pPr>
              <w:spacing w:after="30" w:line="248"/>
            </w:pPr>
            <w:r>
              <w:t xml:space="preserve">• Нельзя превращать в лонгрид: максимум короткий абзац.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Мини-пример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Идея: «Обязательные расходы — это то, без чего месяц не прожить». Теория подаётся текстом; мультимедийные карточки на текущем этапе не используются.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Экран 3. Объективная практика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Содержание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Закрепить главное различие урока действием. Тренирует распознавание, а не угадывание.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Тип взаимодействия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ТОЛЬКО категориальная сортировка (categorization): разложить примеры по 2–3 известным категориям.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Обязательные элементы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Заголовок-задание («Разложите…»).</w:t>
            </w:r>
          </w:p>
          <w:p>
            <w:pPr>
              <w:spacing w:after="30" w:line="248"/>
            </w:pPr>
            <w:r>
              <w:t xml:space="preserve">• 2–3 названные категории (корзины).</w:t>
            </w:r>
          </w:p>
          <w:p>
            <w:pPr>
              <w:spacing w:after="30" w:line="248"/>
            </w:pPr>
            <w:r>
              <w:t xml:space="preserve">• 4–8 карточек-примеров для сортировки.</w:t>
            </w:r>
          </w:p>
          <w:p>
            <w:pPr>
              <w:spacing w:after="30" w:line="248"/>
            </w:pPr>
            <w:r>
              <w:t xml:space="preserve">• Заранее заданная верная раскладка (есть правильный ответ — это объективный экран).</w:t>
            </w:r>
          </w:p>
          <w:p>
            <w:pPr>
              <w:spacing w:after="30" w:line="248"/>
            </w:pPr>
            <w:r>
              <w:t xml:space="preserve">• Обратная связь по каждой карточке: верно / поправить с подсказкой.</w:t>
            </w:r>
          </w:p>
          <w:p>
            <w:pPr>
              <w:spacing w:after="30" w:line="248"/>
            </w:pPr>
            <w:r>
              <w:rPr/>
              <w:t>• Микро-копи кнопки: системное «Проверить» → переходное «Дальше»; в ctaLabel хранится только «Дальше».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</w:rPr>
              <w:t>Markdown-поля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t>question; items[].feedback; feedback.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Чего нельзя делать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НИКОГДА не делать одиночным или множественным выбором — только сортировка.</w:t>
            </w:r>
          </w:p>
          <w:p>
            <w:pPr>
              <w:spacing w:after="30" w:line="248"/>
            </w:pPr>
            <w:r>
              <w:t xml:space="preserve">• Если исходная практика написана как список вариантов — переписать её в категориальную сортировку.</w:t>
            </w:r>
          </w:p>
          <w:p>
            <w:pPr>
              <w:spacing w:after="30" w:line="248"/>
            </w:pPr>
            <w:r>
              <w:t xml:space="preserve">• Нельзя вводить новый материал, которого не было на экране 2.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Мини-пример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«Разложите траты на Обязательные и Желаемые»: аренда, продукты-минимум, проезд → Обязательные; кофе навынос, новая игра, доставка → Желаемые.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Экран 4. Внешний пример · Real World 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Содержание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Связать тему с реальной финансовой средой (продукты, договоры, ставки, права).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Тип взаимодействия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Проверяемый выбор: короткий сценарий + 3 варианта, один верный.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Обязательные элементы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Заголовок и короткий сценарий из реального мира (2–3 строки).</w:t>
            </w:r>
          </w:p>
          <w:p>
            <w:pPr>
              <w:spacing w:after="30" w:line="248"/>
            </w:pPr>
            <w:r>
              <w:t xml:space="preserve">• Ровно 3 варианта ответа, из них 1 верный.</w:t>
            </w:r>
          </w:p>
          <w:p>
            <w:pPr>
              <w:spacing w:after="30" w:line="248"/>
            </w:pPr>
            <w:r>
              <w:t xml:space="preserve">• Обратная связь на верный и на неверные варианты (почему).</w:t>
            </w:r>
          </w:p>
          <w:p>
            <w:pPr>
              <w:spacing w:after="30" w:line="248"/>
            </w:pPr>
            <w:r>
              <w:t xml:space="preserve">• Блок статистики/факта (если в источнике есть) — со ссылкой на официальный источник.</w:t>
            </w:r>
          </w:p>
          <w:p>
            <w:pPr>
              <w:spacing w:after="30" w:line="248"/>
            </w:pPr>
            <w:r>
              <w:t xml:space="preserve">• Микро-копи кнопки: «Ответить» → «Дальше».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</w:rPr>
              <w:t>Markdown-поля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t>body; question; options[].feedback; feedback; statistics.items[].label; statistics.sources[].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Чего нельзя делать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Нельзя заменять этим экраном личную работу пользователя (она на экране 5).</w:t>
            </w:r>
          </w:p>
          <w:p>
            <w:pPr>
              <w:spacing w:after="30" w:line="248"/>
            </w:pPr>
            <w:r>
              <w:t xml:space="preserve">• Нельзя приводить статистику без указания достоверного источника.</w:t>
            </w:r>
          </w:p>
          <w:p>
            <w:pPr>
              <w:spacing w:after="30" w:line="248"/>
            </w:pPr>
            <w:r>
              <w:t xml:space="preserve">• Нельзя давать индивидуальные финансовые/инвестиционные рекомендации.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Мини-пример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«Банк закрывается, у вас вклад 1,8 млн ₽. Что застраховано?» Верно — 1,4 млн ₽ (АСВ, закон 177-ФЗ). Где проверить лимит: сайт АСВ.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Экран 5. Личное применение · Real World B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Содержание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Перенести идею на собственные данные пользователя — маленький личный черновик.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Тип взаимодействия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Ввод/набросок на своих данных. Результат сохраняется, НЕ оценивается.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Обязательные элементы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Заголовок-приглашение применить к себе.</w:t>
            </w:r>
          </w:p>
          <w:p>
            <w:pPr>
              <w:spacing w:after="30" w:line="248"/>
            </w:pPr>
            <w:r>
              <w:t xml:space="preserve">• Поле(я) для своих данных: сумма, разметка, ситуация, целевая величина или первый шаг.</w:t>
            </w:r>
          </w:p>
          <w:p>
            <w:pPr>
              <w:spacing w:after="30" w:line="248"/>
            </w:pPr>
            <w:r>
              <w:t xml:space="preserve">• Подсказка-пример заполнения (необязательная к копированию).</w:t>
            </w:r>
          </w:p>
          <w:p>
            <w:pPr>
              <w:spacing w:after="30" w:line="248"/>
            </w:pPr>
            <w:r>
              <w:t xml:space="preserve">• Сохранение результата как личный артефакт (попадает в Навигатор).</w:t>
            </w:r>
          </w:p>
          <w:p>
            <w:pPr>
              <w:spacing w:after="30" w:line="248"/>
            </w:pPr>
            <w:r>
              <w:t xml:space="preserve">• Микро-копи кнопки: «Сохранить» / «Готово».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</w:rPr>
              <w:t>Markdown-поля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t>body; template[] только для inline-акцентов в подписях полей.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Чего нельзя делать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Нельзя оценивать личный ответ как «верный» или «неверный».</w:t>
            </w:r>
          </w:p>
          <w:p>
            <w:pPr>
              <w:spacing w:after="30" w:line="248"/>
            </w:pPr>
            <w:r>
              <w:t xml:space="preserve">• Нельзя требовать чувствительные данные сверх необходимого.</w:t>
            </w:r>
          </w:p>
          <w:p>
            <w:pPr>
              <w:spacing w:after="30" w:line="248"/>
            </w:pPr>
            <w:r>
              <w:t xml:space="preserve">• Нельзя пропускать сохранение — без артефакта урок не закрепляется.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Мини-пример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«Прикиньте свою сумму обязательных расходов за месяц». Пользователь вводит ~38 000 ₽ → сохраняется в Навигатор как «Мой обязательный минимум».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Экран 6. Личная рефлексия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Содержание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Дать безопасно осмыслить тему применительно к себе — чувства, наблюдения, цели.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Тип взаимодействия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Субъективный выбор + обязательный вариант «Свой вариант». Правильного ответа нет.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Обязательные элементы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Вопрос-рефлексия («Что вы заметили / почувствовали / поняли?»).</w:t>
            </w:r>
          </w:p>
          <w:p>
            <w:pPr>
              <w:spacing w:after="30" w:line="248"/>
            </w:pPr>
            <w:r>
              <w:t xml:space="preserve">• 2–4 готовых варианта-формулировки.</w:t>
            </w:r>
          </w:p>
          <w:p>
            <w:pPr>
              <w:spacing w:after="30" w:line="248"/>
            </w:pPr>
            <w:r>
              <w:t xml:space="preserve">• Обязательный пункт «Свой вариант» со свободным вводом.</w:t>
            </w:r>
          </w:p>
          <w:p>
            <w:pPr>
              <w:spacing w:after="30" w:line="248"/>
            </w:pPr>
            <w:r>
              <w:t xml:space="preserve">• Поддерживающая реакция без оценки.</w:t>
            </w:r>
          </w:p>
          <w:p>
            <w:pPr>
              <w:spacing w:after="30" w:line="248"/>
            </w:pPr>
            <w:r>
              <w:t xml:space="preserve">• Микро-копи кнопки: «Дальше».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</w:rPr>
              <w:t>Markdown-поля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t>prompt; guidance.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Чего нельзя делать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Нельзя помечать ответы как верные/неверные.</w:t>
            </w:r>
          </w:p>
          <w:p>
            <w:pPr>
              <w:spacing w:after="30" w:line="248"/>
            </w:pPr>
            <w:r>
              <w:t xml:space="preserve">• Нельзя давить или вызывать стыд за финансовое поведение.</w:t>
            </w:r>
          </w:p>
          <w:p>
            <w:pPr>
              <w:spacing w:after="30" w:line="248"/>
            </w:pPr>
            <w:r>
              <w:t xml:space="preserve">• Нельзя превращать в тест на знание.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Мини-пример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«Что вы почувствовали, увидев свой обязательный минимум?» Варианты: спокойствие · удивление · тревогу · Свой вариант.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Экран 7. Микро-правило · первый шаг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Содержание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Перевести знание в одно маленькое правило поведения — ядро привычки.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Тип взаимодействия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Выбор готовой формулировки правила ИЛИ свой вариант (implementation intention).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Обязательные элементы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Заголовок («Ваше правило на сегодня»).</w:t>
            </w:r>
          </w:p>
          <w:p>
            <w:pPr>
              <w:spacing w:after="30" w:line="248"/>
            </w:pPr>
            <w:r>
              <w:t xml:space="preserve">• Ровно две готовые variants: две конкретные формулировки правила или первого шага в форме «Если…, то…» / «Я буду…».</w:t>
            </w:r>
          </w:p>
          <w:p>
            <w:pPr>
              <w:spacing w:after="30" w:line="248"/>
            </w:pPr>
            <w:r>
              <w:t xml:space="preserve">• customOption.label всегда ровно «Свой вариант»; placeholder предлагает написать свой вариант.</w:t>
            </w:r>
          </w:p>
          <w:p>
            <w:pPr>
              <w:spacing w:after="30" w:line="248"/>
            </w:pPr>
            <w:r>
              <w:t xml:space="preserve">• Сохранение выбранного правила или первого шага в Навигатор.</w:t>
            </w:r>
          </w:p>
          <w:p>
            <w:pPr>
              <w:spacing w:after="30" w:line="248"/>
            </w:pPr>
            <w:r>
              <w:t xml:space="preserve">• Микро-копи кнопки: «Сделать моим правилом».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</w:rPr>
              <w:t>Markdown-поля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t>body. variants[] остаются plain text, потому что выбранная строка сохраняется как личный артефакт пользователя.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Чего нельзя делать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Нельзя предлагать больше двух готовых variants — третий вариант всегда только customOption «Свой вариант».</w:t>
            </w:r>
          </w:p>
          <w:p>
            <w:pPr>
              <w:spacing w:after="30" w:line="248"/>
            </w:pPr>
            <w:r>
              <w:t xml:space="preserve">• Нельзя заставлять выбрать сразу несколько правил — итогом один выбранный или написанный первый шаг.</w:t>
            </w:r>
          </w:p>
          <w:p>
            <w:pPr>
              <w:spacing w:after="30" w:line="248"/>
            </w:pPr>
            <w:r>
              <w:t xml:space="preserve">• Нельзя формулировать абстрактно («буду экономнее») — нужен конкретный триггер и действие.</w:t>
            </w:r>
          </w:p>
          <w:p>
            <w:pPr>
              <w:spacing w:after="30" w:line="248"/>
            </w:pPr>
            <w:r>
              <w:t xml:space="preserve">• Нельзя оставлять правило без сохранения.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Мини-пример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Variants: «Если хочу купить незапланированное дороже 1000 ₽, то откладываю покупку на 24 часа» и «Если сомневаюсь в покупке, то сначала сверяю её с обязательными тратами». Третий путь — «Свой вариант».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Экран 8. Итог · Навигатор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Параметр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Содержание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Назначение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Зафиксировать результат, показать ценность и перекинуть мостик к следующему уроку.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Тип взаимодействия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Итоговый экран-резюме. Кнопка завершения; артефакты уже сохранены.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Обязательные элементы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Что сохранилось: перечень артефактов урока (минимум, правило и т.д.).</w:t>
            </w:r>
          </w:p>
          <w:p>
            <w:pPr>
              <w:spacing w:after="30" w:line="248"/>
            </w:pPr>
            <w:r>
              <w:t xml:space="preserve">• Зачем это пригодится — короткая фраза о пользе.</w:t>
            </w:r>
          </w:p>
          <w:p>
            <w:pPr>
              <w:spacing w:after="30" w:line="248"/>
            </w:pPr>
            <w:r>
              <w:t xml:space="preserve">• Мостик: название/тема следующего урока и методический возврат через 7/30 дней. Это не создаёт реальное напоминание или адаптивный повтор в MVP.</w:t>
            </w:r>
          </w:p>
          <w:p>
            <w:pPr>
              <w:spacing w:after="30" w:line="248"/>
            </w:pPr>
            <w:r>
              <w:t xml:space="preserve">• Микро-копи кнопки: «Завершить урок».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rPr>
                <w:b/>
              </w:rPr>
              <w:t>Markdown-поля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64" w:lineRule="auto"/>
            </w:pPr>
            <w:r>
              <w:t>body; points[]; nextStep.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Чего нельзя делать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line="248"/>
            </w:pPr>
            <w:r>
              <w:t xml:space="preserve">• Нельзя вводить новый материал на итоге.</w:t>
            </w:r>
          </w:p>
          <w:p>
            <w:pPr>
              <w:spacing w:after="30" w:line="248"/>
            </w:pPr>
            <w:r>
              <w:t xml:space="preserve">• Нельзя завершать урок без сохранённого артефакта.</w:t>
            </w:r>
          </w:p>
          <w:p>
            <w:pPr>
              <w:spacing w:after="30" w:line="248"/>
            </w:pPr>
            <w:r>
              <w:t xml:space="preserve">• Нельзя обрывать без мостика к следующему шагу.</w:t>
            </w:r>
          </w:p>
        </w:tc>
      </w:tr>
      <w:tr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Мини-пример</w:t>
            </w:r>
          </w:p>
        </w:tc>
        <w:tc>
          <w:tcPr>
            <w:tcW w:type="dxa" w:w="73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«Сохранено: обязательный минимум и правило 24 часов. Дальше — Уровень 1 · Раздел 1 · Урок 3 «Безопасный платёж». Вернёмся к вашему минимуму через неделю».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Формат выдачи экрана: описание + JSON</w:t>
      </w:r>
    </w:p>
    <w:p>
      <w:pPr>
        <w:spacing w:after="120" w:line="276"/>
      </w:pPr>
      <w:r>
        <w:t>Для каждого из восьми экранов ИИ-Методист готовит два блока подряд: сначала стандартное человеческое описание экрана, затем JSON-вставку одного runtime card для массива lesson.cards. JSON должен быть валидным, без комментариев, trailing comma и лишних ключей. Markdown допустим только в утверждённых текстовых полях; остальные поля остаются plain text. Плейсхолдеры заменяются реальными данными урока до передачи в разработку.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1696F" w:sz="1"/>
              <w:left w:val="single" w:color="01696F" w:sz="24"/>
              <w:bottom w:val="single" w:color="01696F" w:sz="1"/>
              <w:right w:val="single" w:color="01696F" w:sz="1"/>
            </w:tcBorders>
            <w:shd w:fill="E3EF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01696F"/>
              </w:rPr>
              <w:t xml:space="preserve">Обязательные правила JSON для Уровня 1</w:t>
            </w:r>
          </w:p>
          <w:p>
            <w:pPr>
              <w:spacing w:after="30" w:line="264"/>
            </w:pPr>
            <w:r>
              <w:t xml:space="preserve">card.id стабилен и уникален; order строго от 1 до 8.</w:t>
            </w:r>
          </w:p>
          <w:p>
            <w:pPr>
              <w:spacing w:after="30" w:line="264"/>
            </w:pPr>
            <w:r>
              <w:t xml:space="preserve">sourceSection заканчивается на «/ Экран N».</w:t>
            </w:r>
          </w:p>
          <w:p>
            <w:pPr>
              <w:spacing w:after="30" w:line="264"/>
            </w:pPr>
            <w:r>
              <w:t xml:space="preserve">checkability совпадает с типом экрана.</w:t>
            </w:r>
          </w:p>
          <w:p>
            <w:pPr>
              <w:spacing w:after="30" w:line="264"/>
            </w:pPr>
            <w:r>
              <w:t xml:space="preserve">statistics ставится только на экран 4 и только при наличии блока статистики в источнике.</w:t>
            </w:r>
          </w:p>
          <w:p>
            <w:pPr>
              <w:spacing w:after="30" w:line="264"/>
            </w:pPr>
            <w:r>
              <w:t xml:space="preserve">customOption.label на экранах 6 и 7 всегда ровно «Свой вариант».</w:t>
            </w:r>
          </w:p>
          <w:p>
            <w:pPr>
              <w:spacing w:after="30" w:line="264"/>
            </w:pPr>
            <w:r>
              <w:t xml:space="preserve">Экран 7 содержит ровно две готовые variants плюс customOption.</w:t>
            </w:r>
          </w:p>
          <w:p>
            <w:pPr>
              <w:spacing w:after="30" w:line="264" w:lineRule="auto"/>
            </w:pPr>
            <w:r>
              <w:rPr/>
              <w:t>ctaLabel на экранах 1–7 хранит чистый текст переходной кнопки из строки «Кнопка» в source table; без кавычек и декоративных стрелок.</w:t>
            </w:r>
          </w:p>
          <w:p>
            <w:pPr>
              <w:spacing w:after="30" w:line="264" w:lineRule="auto"/>
            </w:pPr>
            <w:r>
              <w:rPr/>
              <w:t>Если строка «Кнопка» содержит «Проверить» → «Дальше», в ctaLabel записывается только «Дальше».</w:t>
            </w:r>
          </w:p>
          <w:p>
            <w:pPr>
              <w:spacing w:after="30" w:line="264" w:lineRule="auto"/>
            </w:pPr>
            <w:r>
              <w:rPr/>
              <w:t>Экран 8 не хранит ctaLabel для финального «Завершить»: это системное действие reader-а.</w:t>
            </w:r>
          </w:p>
          <w:p>
            <w:pPr>
              <w:spacing w:after="30" w:line="264" w:lineRule="auto"/>
            </w:pPr>
            <w:r>
              <w:rPr/>
              <w:t>Экран 1 не содержит общего feedback на карточке: feedback задаётся у каждого option.</w:t>
            </w:r>
          </w:p>
          <w:p>
            <w:pPr>
              <w:spacing w:after="40" w:line="264" w:lineRule="auto"/>
            </w:pPr>
            <w:r>
              <w:rPr>
                <w:b/>
              </w:rPr>
              <w:t>Markdown-разметка в текстовых полях</w:t>
            </w:r>
          </w:p>
          <w:p>
            <w:pPr>
              <w:spacing w:after="30" w:line="264" w:lineRule="auto"/>
            </w:pPr>
            <w:r>
              <w:rPr>
                <w:b w:val="0"/>
              </w:rPr>
              <w:t>Цель Markdown — сохранить смысловое форматирование из DOCX-источника: жирный, курсив, подчёркивание, абзацы и ссылки. Runtime-поддержка рендера внедряется отдельной задачей.</w:t>
            </w:r>
          </w:p>
          <w:p>
            <w:pPr>
              <w:spacing w:after="30" w:line="264" w:lineRule="auto"/>
            </w:pPr>
            <w:r>
              <w:rPr>
                <w:b w:val="0"/>
              </w:rPr>
              <w:t>Допустимо: абзацы через \n\n, **жирный**, *курсив*, &lt;u&gt;подчёркивание&lt;/u&gt;, [ссылка](https://example.com). Нельзя использовать произвольный HTML, Markdown-таблицы, заголовки и списки внутри JSON-строк без отдельного решения.</w:t>
            </w:r>
          </w:p>
          <w:p>
            <w:pPr>
              <w:spacing w:after="30" w:line="264" w:lineRule="auto"/>
            </w:pPr>
            <w:r>
              <w:rPr>
                <w:b w:val="0"/>
              </w:rPr>
              <w:t>Markdown-enabled поля: экран 1 — question, options[].feedback; экран 2 — body; экран 3 — question, items[].feedback, feedback; экран 4 — body, question, options[].feedback, feedback, statistics.items[].label, statistics.sources[]; экран 5 — body, template[]; экран 6 — prompt, guidance; экран 7 — body; экран 8 — body, points[], nextStep.</w:t>
            </w:r>
          </w:p>
          <w:p>
            <w:pPr>
              <w:spacing w:after="30" w:line="264" w:lineRule="auto"/>
            </w:pPr>
            <w:r>
              <w:rPr>
                <w:b w:val="0"/>
              </w:rPr>
              <w:t>Plain text: title, ctaLabel, options[].label, categories[].label, items[].label, variants[], customOption.label, customOption.placeholder, statistics.value, id, sourceSection, saveKey, slugs и технические ключи.</w:t>
            </w:r>
          </w:p>
          <w:p>
            <w:pPr>
              <w:spacing w:after="30" w:line="264" w:lineRule="auto"/>
            </w:pPr>
            <w:r>
              <w:rPr>
                <w:b w:val="0"/>
              </w:rPr>
              <w:t>Не создаём отдельную техническую структуру через префиксы «Факт:», «Формула:», «Пример:», «Простой тест:». Если в источнике есть факт-иллюстрация, пример, формула или простой тест, он переносится обычным абзацем в соответствующее Markdown-enabled поле, чаще всего в theory.body.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Экран 1 — зацепка (single_choice)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C6BF" w:sz="1"/>
              <w:left w:val="single" w:color="01696F" w:sz="18"/>
              <w:bottom w:val="single" w:color="C9C6BF" w:sz="1"/>
              <w:right w:val="single" w:color="C9C6BF" w:sz="1"/>
            </w:tcBorders>
            <w:shd w:fill="F4F2E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"id": "sample-lesson-01-hook",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"type": "single_choice",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"order": 1,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"title": "Зацепка",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"sourceSection": "docs/levels/level-1-start/sections/example-section/lesson_x.md / Экран 1",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"thinkingType": "understanding",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"develops": "psychology",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"checkability": "subjective",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"question": "**Короткий крючок:** знакомая жизненная ситуация.\n\nФинальный вопрос из этой ситуации?",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"options": [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{ "id": "option-a", "label": "Первый узнаваемый ответ", "feedback": "Принято: **это нормальная стартовая точка**." },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{ "id": "option-b", "label": "Второй узнаваемый ответ", "feedback": "Принято: дальше разберёмся *на примерах*." },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{ "id": "option-c", "label": "Третий узнаваемый ответ", "feedback": "Принято: здесь &lt;u&gt;нет неправильного ответа&lt;/u&gt;." }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],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"ctaLabel": "Дальше"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Экран 2 — мини-теория (theory)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C6BF" w:sz="1"/>
              <w:left w:val="single" w:color="01696F" w:sz="18"/>
              <w:bottom w:val="single" w:color="C9C6BF" w:sz="1"/>
              <w:right w:val="single" w:color="C9C6BF" w:sz="1"/>
            </w:tcBorders>
            <w:shd w:fill="F4F2E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"id": "sample-lesson-02-theory",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"type": "theory",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"order": 2,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"title": "Мини-теория",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"sourceSection": "docs/levels/level-1-start/sections/example-section/lesson_x.md / Экран 2",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"thinkingType": "memory",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"develops": "hard skills",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"checkability": "objective",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"body": "**Одна главная мысль** урока.\n\nКороткий пример или факт как обычный абзац, без служебного префикса для renderer-а.\n\nТеория подаётся текстом; мультимедийные карточки на текущем этапе не используются."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Экран 3 — объективная практика (categorization)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C6BF" w:sz="1"/>
              <w:left w:val="single" w:color="01696F" w:sz="18"/>
              <w:bottom w:val="single" w:color="C9C6BF" w:sz="1"/>
              <w:right w:val="single" w:color="C9C6BF" w:sz="1"/>
            </w:tcBorders>
            <w:shd w:fill="F4F2E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"id": "sample-lesson-03-practice",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"type": "categorization",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"order": 3,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"title": "Практика понимания",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"sourceSection": "docs/levels/level-1-start/sections/example-section/lesson_x.md / Экран 3",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"thinkingType": "application",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"develops": "hard skills",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"checkability": "objective",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"question": "Разложи примеры по **двум категориям**.",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"categories": [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{ "id": "category-a", "label": "Категория A" },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{ "id": "category-b", "label": "Категория B" }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],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"items": [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{ "id": "item-1", "label": "Пример 1", "correctCategoryId": "category-a", "feedback": "Почему это относится к **категории A**." },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{ "id": "item-2", "label": "Пример 2", "correctCategoryId": "category-b", "feedback": "Почему это относится к **категории B**." }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],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"feedback": "Общее пояснение после проверки: **как отличать категории**.",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"ctaLabel": "Дальше"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Экран 4 — внешний пример / Real World A (scenario)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C6BF" w:sz="1"/>
              <w:left w:val="single" w:color="01696F" w:sz="18"/>
              <w:bottom w:val="single" w:color="C9C6BF" w:sz="1"/>
              <w:right w:val="single" w:color="C9C6BF" w:sz="1"/>
            </w:tcBorders>
            <w:shd w:fill="F4F2E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"id": "sample-lesson-04-real-world",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"type": "scenario",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"order": 4,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"title": "Внешний пример",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"sourceSection": "docs/levels/level-1-start/sections/example-section/lesson_x.md / Экран 4",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"thinkingType": "real world A",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"develops": "hard skills",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"checkability": "objective",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"body": "Короткий внешний пример из жизни другого человека или рыночной ситуации. Важную деталь можно выделить **жирным**.",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"question": "Какой вариант *лучше всего* подходит к ситуации?",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"options": [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{ "id": "wrong-too-small", "label": "Неверный, но правдоподобный вариант", "feedback": "Почему этот вариант **не решает задачу**." },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{ "id": "correct-balanced", "label": "Верный вариант", "isCorrect": true, "feedback": "Почему этот вариант работает: **назван главный принцип**." },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{ "id": "wrong-too-broad", "label": "Ещё один неверный вариант", "feedback": "Почему этот вариант избыточен или *не по теме*." }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],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"correctOptionId": "correct-balanced",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"feedback": "Общее пояснение: какой **принцип** нужно забрать из внешнего примера.",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"ctaLabel": "Применить к себе",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"statistics": {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"title": "Статистика по теме",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"items": [ { "value": "число из источника", "label": "что именно показывает **число**" } ],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"sources": [ "[название источника](https://example.com)" ]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}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Экран 5 — личное применение / Real World B (artifact)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C6BF" w:sz="1"/>
              <w:left w:val="single" w:color="01696F" w:sz="18"/>
              <w:bottom w:val="single" w:color="C9C6BF" w:sz="1"/>
              <w:right w:val="single" w:color="C9C6BF" w:sz="1"/>
            </w:tcBorders>
            <w:shd w:fill="F4F2E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"id": "sample-lesson-05-personal-artifact",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"type": "artifact",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"order": 5,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"title": "Личное применение",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"sourceSection": "docs/levels/level-1-start/sections/example-section/lesson_x.md / Экран 5",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"thinkingType": "personal world",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"develops": "soft skills",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"checkability": "mixed",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"body": "Собери маленький черновик **на своих данных**.\n\nЭто не тест: личный ответ не оценивается как верный или неверный.",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"ctaLabel": "Сохранить и продолжить",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"template": [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"Поле 1: **что пользователь вспоминает, считает или выбирает**",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"Поле 2: личный пример, сумма, ситуация или пометка",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"Поле 3: вывод или следующий ориентир"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]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Экран 6 — личная рефлексия (reflection)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C6BF" w:sz="1"/>
              <w:left w:val="single" w:color="01696F" w:sz="18"/>
              <w:bottom w:val="single" w:color="C9C6BF" w:sz="1"/>
              <w:right w:val="single" w:color="C9C6BF" w:sz="1"/>
            </w:tcBorders>
            <w:shd w:fill="F4F2E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"id": "sample-lesson-06-reflection",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"type": "reflection",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"order": 6,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"title": "Личная рефлексия",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"sourceSection": "docs/levels/level-1-start/sections/example-section/lesson_x.md / Экран 6",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"thinkingType": "personal world",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"develops": "psychology",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"checkability": "subjective",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"prompt": "Что ты заметил(а) у себя **после этого шага**?",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"inputType": "single_select",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"options": [ "Вариант личного ответа 1", "Вариант личного ответа 2", "Вариант личного ответа 3" ],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"customOption": { "label": "Свой вариант", "placeholder": "Напиши свой вариант" },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"saveKey": "sample-lesson-reflection",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"guidance": "Выбери ближайший вариант или напиши свой. Здесь **нет правильного ответа**.",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"ctaLabel": "Дальше"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Экран 7 — микро-правило / первый шаг (artifact, ровно две variants)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C6BF" w:sz="1"/>
              <w:left w:val="single" w:color="01696F" w:sz="18"/>
              <w:bottom w:val="single" w:color="C9C6BF" w:sz="1"/>
              <w:right w:val="single" w:color="C9C6BF" w:sz="1"/>
            </w:tcBorders>
            <w:shd w:fill="F4F2E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"id": "sample-lesson-07-micro-rule",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"type": "artifact",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"order": 7,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"title": "Микро-правило",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"sourceSection": "docs/levels/level-1-start/sections/example-section/lesson_x.md / Экран 7",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"thinkingType": "habit",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"develops": "habits",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"checkability": "mixed",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"body": "Выбери **маленькое правило** или первый шаг, который можно применить без сложной настройки.",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"ctaLabel": "Сделать моим правилом",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"variants": [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"Готовая формулировка правила 1",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"Готовая формулировка правила 2"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],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"customOption": { "label": "Свой вариант", "placeholder": "Напиши свой вариант" }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Экран 8 — итог / Навигатор (summary)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C6BF" w:sz="1"/>
              <w:left w:val="single" w:color="01696F" w:sz="18"/>
              <w:bottom w:val="single" w:color="C9C6BF" w:sz="1"/>
              <w:right w:val="single" w:color="C9C6BF" w:sz="1"/>
            </w:tcBorders>
            <w:shd w:fill="F4F2EE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{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"id": "sample-lesson-08-summary",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"type": "summary",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"order": 8,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"title": "Итог",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"sourceSection": "docs/levels/level-1-start/sections/example-section/lesson_x.md / Экран 8",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"thinkingType": "artifact",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"develops": "habits",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"checkability": "subjective",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"body": "Короткий **итог урока** и связь с сохранённым личным результатом.",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"points": [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"Что пользователь теперь **различает или понимает**",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"Какой личный черновик или выбор появился",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  "Какое микро-правило или первый шаг выбран"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],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 xml:space="preserve">  "nextStep": "Мостик к следующему уроку: зачем этот результат пригодится **дальше**."</w:t>
            </w:r>
          </w:p>
          <w:p>
            <w:pPr>
              <w:spacing w:after="0" w:line="230" w:lineRule="auto"/>
            </w:pPr>
            <w:r>
              <w:rPr>
                <w:rFonts w:ascii="Consolas" w:hAnsi="Consolas" w:cs="Consolas"/>
                <w:sz w:val="16"/>
              </w:rPr>
              <w:t>}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1696F" w:sz="1"/>
              <w:left w:val="single" w:color="01696F" w:sz="24"/>
              <w:bottom w:val="single" w:color="01696F" w:sz="1"/>
              <w:right w:val="single" w:color="01696F" w:sz="1"/>
            </w:tcBorders>
            <w:shd w:fill="E3EF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01696F"/>
              </w:rPr>
              <w:t xml:space="preserve">Сборка массива lesson.cards</w:t>
            </w:r>
          </w:p>
          <w:p>
            <w:pPr>
              <w:spacing w:after="30" w:line="264"/>
            </w:pPr>
            <w:r>
              <w:t xml:space="preserve">После подготовки всех восьми экранов JSON-вставки собираются в lesson.cards в порядке order.</w:t>
            </w:r>
          </w:p>
          <w:p>
            <w:pPr>
              <w:spacing w:after="30" w:line="264"/>
            </w:pPr>
            <w:r>
              <w:rPr/>
              <w:t>Перед передачей разработчику проверить: в итоговом JSON нет плейсхолдеров sample/level_x/section_x/lesson_x; все id уникальны; correctOptionId совпадает с id верного варианта на экране 4; sourceSection у каждого экрана указывает на сохранённый Markdown-источник. На экранах 1–7 ctaLabel совпадает с переходной кнопкой из source table; на экране 1 feedback задан у каждого варианта, а не общим полем карточки.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Допустимые форматы карточек (Уровень 1)</w:t>
      </w:r>
    </w:p>
    <w:p>
      <w:pPr>
        <w:spacing w:after="120" w:line="276"/>
      </w:pPr>
      <w:r>
        <w:t xml:space="preserve">Для текущих runtime-уроков Уровня 1 ИИ-Методист собирает урок только из поддержанных MVP-форматов. Широкая палитра целевой методологии здесь намеренно сужена.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6246"/>
      </w:tblGrid>
      <w:tr>
        <w:trPr>
          <w:tblHeader/>
        </w:trPr>
        <w:tc>
          <w:tcPr>
            <w:tcW w:type="dxa" w:w="11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Экран</w:t>
            </w:r>
          </w:p>
        </w:tc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Тип card</w:t>
            </w:r>
          </w:p>
        </w:tc>
        <w:tc>
          <w:tcPr>
            <w:tcW w:type="dxa" w:w="62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Что допустимо</w:t>
            </w:r>
          </w:p>
        </w:tc>
      </w:tr>
      <w:tr>
        <w:tc>
          <w:tcPr>
            <w:tcW w:type="dxa" w:w="11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single_choice</w:t>
            </w:r>
          </w:p>
        </w:tc>
        <w:tc>
          <w:tcPr>
            <w:tcW w:type="dxa" w:w="62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Зацепка: мягкий выбор без правильного ответа.</w:t>
            </w:r>
          </w:p>
        </w:tc>
      </w:tr>
      <w:tr>
        <w:tc>
          <w:tcPr>
            <w:tcW w:type="dxa" w:w="11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theory</w:t>
            </w:r>
          </w:p>
        </w:tc>
        <w:tc>
          <w:tcPr>
            <w:tcW w:type="dxa" w:w="62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Одна идея текстом, короткий пример/факт.</w:t>
            </w:r>
          </w:p>
        </w:tc>
      </w:tr>
      <w:tr>
        <w:tc>
          <w:tcPr>
            <w:tcW w:type="dxa" w:w="11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categorization</w:t>
            </w:r>
          </w:p>
        </w:tc>
        <w:tc>
          <w:tcPr>
            <w:tcW w:type="dxa" w:w="62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Только сортировка по категориям.</w:t>
            </w:r>
          </w:p>
        </w:tc>
      </w:tr>
      <w:tr>
        <w:tc>
          <w:tcPr>
            <w:tcW w:type="dxa" w:w="11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scenario</w:t>
            </w:r>
          </w:p>
        </w:tc>
        <w:tc>
          <w:tcPr>
            <w:tcW w:type="dxa" w:w="62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Внешний пример: 3 варианта, 1 верный; статистика при наличии источника.</w:t>
            </w:r>
          </w:p>
        </w:tc>
      </w:tr>
      <w:tr>
        <w:tc>
          <w:tcPr>
            <w:tcW w:type="dxa" w:w="11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artifact</w:t>
            </w:r>
          </w:p>
        </w:tc>
        <w:tc>
          <w:tcPr>
            <w:tcW w:type="dxa" w:w="62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Личный черновик на данных пользователя (не оценивается).</w:t>
            </w:r>
          </w:p>
        </w:tc>
      </w:tr>
      <w:tr>
        <w:tc>
          <w:tcPr>
            <w:tcW w:type="dxa" w:w="11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reflection</w:t>
            </w:r>
          </w:p>
        </w:tc>
        <w:tc>
          <w:tcPr>
            <w:tcW w:type="dxa" w:w="62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Субъективный ответ + «Свой вариант».</w:t>
            </w:r>
          </w:p>
        </w:tc>
      </w:tr>
      <w:tr>
        <w:tc>
          <w:tcPr>
            <w:tcW w:type="dxa" w:w="11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artifact</w:t>
            </w:r>
          </w:p>
        </w:tc>
        <w:tc>
          <w:tcPr>
            <w:tcW w:type="dxa" w:w="62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t>Микро-правило: ровно две plain-text variants плюс «Свой вариант».</w:t>
            </w:r>
          </w:p>
        </w:tc>
      </w:tr>
      <w:tr>
        <w:tc>
          <w:tcPr>
            <w:tcW w:type="dxa" w:w="11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24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summary</w:t>
            </w:r>
          </w:p>
        </w:tc>
        <w:tc>
          <w:tcPr>
            <w:tcW w:type="dxa" w:w="62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Итог, перечень артефактов, мостик к следующему уроку.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1696F" w:sz="1"/>
              <w:left w:val="single" w:color="01696F" w:sz="24"/>
              <w:bottom w:val="single" w:color="01696F" w:sz="1"/>
              <w:right w:val="single" w:color="01696F" w:sz="1"/>
            </w:tcBorders>
            <w:shd w:fill="E3EF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01696F"/>
              </w:rPr>
              <w:t xml:space="preserve">Что НЕ проектируется как новые механики</w:t>
            </w:r>
          </w:p>
          <w:p>
            <w:pPr>
              <w:spacing w:after="30" w:line="264"/>
            </w:pPr>
            <w:r>
              <w:t xml:space="preserve">Полноценные калькуляторы, matching, branching dialogue, настоящие напоминания и отдельные diary-схемы не создаются как новые механики.</w:t>
            </w:r>
          </w:p>
          <w:p>
            <w:pPr>
              <w:spacing w:after="30" w:line="264"/>
            </w:pPr>
            <w:r>
              <w:t xml:space="preserve">Их смысл адаптируется в scenario, artifact.template, reflection или summary.nextStep.</w:t>
            </w:r>
          </w:p>
          <w:p>
            <w:pPr>
              <w:spacing w:after="30" w:line="264"/>
            </w:pPr>
            <w:r>
              <w:t xml:space="preserve">Статистика из источника не становится отдельной карточкой, а прикрепляется к экрану 4 как блок статистики.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QA-чек-листы перед загрузкой</w:t>
      </w:r>
    </w:p>
    <w:p>
      <w:pPr>
        <w:spacing w:after="120" w:line="276"/>
      </w:pPr>
      <w:r>
        <w:t xml:space="preserve">Перед публикацией любой урок проходит проверку. Это гарантирует единство методологии при масштабировании.</w:t>
      </w:r>
    </w:p>
    <w:p>
      <w:pPr>
        <w:pStyle w:val="Heading2"/>
      </w:pPr>
      <w:r>
        <w:t xml:space="preserve">6.1. Базовый чек-лист урока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rPr>
          <w:tblHeader/>
        </w:trPr>
        <w:tc>
          <w:tcPr>
            <w:tcW w:type="dxa" w:w="7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№</w:t>
            </w:r>
          </w:p>
        </w:tc>
        <w:tc>
          <w:tcPr>
            <w:tcW w:type="dxa" w:w="9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Проверка перед загрузкой урока</w:t>
            </w:r>
          </w:p>
        </w:tc>
      </w:tr>
      <w:tr>
        <w:tc>
          <w:tcPr>
            <w:tcW w:type="dxa" w:w="7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9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Экранов ровно 8, порядок не нарушен.</w:t>
            </w:r>
          </w:p>
        </w:tc>
      </w:tr>
      <w:tr>
        <w:tc>
          <w:tcPr>
            <w:tcW w:type="dxa" w:w="7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9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Урок занимает 3–5 минут, есть одна главная мысль, нет длинных лекций.</w:t>
            </w:r>
          </w:p>
        </w:tc>
      </w:tr>
      <w:tr>
        <w:tc>
          <w:tcPr>
            <w:tcW w:type="dxa" w:w="7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9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Взаимодействие в первые 30–60 секунд.</w:t>
            </w:r>
          </w:p>
        </w:tc>
      </w:tr>
      <w:tr>
        <w:tc>
          <w:tcPr>
            <w:tcW w:type="dxa" w:w="7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9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Экран 3 реализован как категориальная сортировка, а не выбор варианта.</w:t>
            </w:r>
          </w:p>
        </w:tc>
      </w:tr>
      <w:tr>
        <w:tc>
          <w:tcPr>
            <w:tcW w:type="dxa" w:w="7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9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Экран 4 содержит ровно 3 варианта (1 верный) и статистику со ссылкой на официальный источник, если число приводится.</w:t>
            </w:r>
          </w:p>
        </w:tc>
      </w:tr>
      <w:tr>
        <w:tc>
          <w:tcPr>
            <w:tcW w:type="dxa" w:w="7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9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Экраны 5 и 6 не оценивают личные ответы; на экране 6 есть «Свой вариант».</w:t>
            </w:r>
          </w:p>
        </w:tc>
      </w:tr>
      <w:tr>
        <w:tc>
          <w:tcPr>
            <w:tcW w:type="dxa" w:w="7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9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На экранах 5 и 7 результат сохраняется в Навигатор.</w:t>
            </w:r>
          </w:p>
        </w:tc>
      </w:tr>
      <w:tr>
        <w:tc>
          <w:tcPr>
            <w:tcW w:type="dxa" w:w="7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9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Экран 7 содержит ровно две готовые variants плюс customOption.label «Свой вариант»; итогом одно правило / первый шаг.</w:t>
            </w:r>
          </w:p>
        </w:tc>
      </w:tr>
      <w:tr>
        <w:tc>
          <w:tcPr>
            <w:tcW w:type="dxa" w:w="7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9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Экран 8 называет сохранённые артефакты и даёт мостик к следующему уроку.</w:t>
            </w:r>
          </w:p>
        </w:tc>
      </w:tr>
      <w:tr>
        <w:tc>
          <w:tcPr>
            <w:tcW w:type="dxa" w:w="7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9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</w:rPr>
              <w:t xml:space="preserve">Термины совпадают с иерархией: Программа → Уровень → Раздел → Урок → Карточка.</w:t>
            </w:r>
          </w:p>
        </w:tc>
      </w:tr>
      <w:tr>
        <w:tc>
          <w:tcPr>
            <w:tcW w:type="dxa" w:w="7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</w:rPr>
              <w:t>11</w:t>
            </w:r>
          </w:p>
        </w:tc>
        <w:tc>
          <w:tcPr>
            <w:tcW w:type="dxa" w:w="9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0"/>
              </w:rPr>
              <w:t>Экран 1 содержит feedback на каждом варианте; общего feedback на карточке нет.</w:t>
            </w:r>
          </w:p>
        </w:tc>
      </w:tr>
      <w:tr>
        <w:tc>
          <w:tcPr>
            <w:tcW w:type="dxa" w:w="700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</w:rPr>
              <w:t>12</w:t>
            </w:r>
          </w:p>
        </w:tc>
        <w:tc>
          <w:tcPr>
            <w:tcW w:type="dxa" w:w="9046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 w:val="0"/>
              </w:rPr>
              <w:t>ctaLabel на экранах 1–7 совпадает с переходной кнопкой из source table; для «Проверить» → «Дальше» хранится только «Дальше», экран 8 не хранит финальное «Завершить».</w:t>
            </w:r>
          </w:p>
        </w:tc>
      </w:tr>
      <w:tr>
        <w:tc>
          <w:tcPr>
            <w:tcW w:type="dxa" w:w="700"/>
          </w:tcPr>
          <w:p>
            <w:pPr>
              <w:spacing w:after="30" w:line="264" w:lineRule="auto"/>
            </w:pPr>
            <w:r>
              <w:t>13</w:t>
            </w:r>
          </w:p>
        </w:tc>
        <w:tc>
          <w:tcPr>
            <w:tcW w:type="dxa" w:w="9046"/>
          </w:tcPr>
          <w:p>
            <w:pPr>
              <w:spacing w:after="30" w:line="264" w:lineRule="auto"/>
            </w:pPr>
            <w:r>
              <w:t>Markdown используется только в утверждённых Markdown-enabled полях; plain-text поля не содержат разметки.</w:t>
            </w:r>
          </w:p>
        </w:tc>
      </w:tr>
      <w:tr>
        <w:tc>
          <w:tcPr>
            <w:tcW w:type="dxa" w:w="700"/>
          </w:tcPr>
          <w:p>
            <w:pPr>
              <w:spacing w:after="30" w:line="264" w:lineRule="auto"/>
            </w:pPr>
            <w:r>
              <w:t>14</w:t>
            </w:r>
          </w:p>
        </w:tc>
        <w:tc>
          <w:tcPr>
            <w:tcW w:type="dxa" w:w="9046"/>
          </w:tcPr>
          <w:p>
            <w:pPr>
              <w:spacing w:after="30" w:line="264" w:lineRule="auto"/>
            </w:pPr>
            <w:r>
              <w:t>Факты, формулы, примеры и простые тесты не оформляются как отдельная renderer-структура; они остаются обычными абзацами в Markdown-enabled поле.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6.2. Чек-лист урока о ценностях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Сохранено различие «покупка — потребность — ценность».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Личные ценности не оцениваются как хорошие/плохие.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Рефлексия мягкая и без давления.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Есть жизненный сценарий, а не только абстракция.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Есть сохранённый артефакт (ценность, событие, правило, карта).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Есть мостик к финансовым целям.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6.3. Чек-лист внешних финансовых данных (Уровень 1)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1696F" w:sz="1"/>
              <w:left w:val="single" w:color="01696F" w:sz="24"/>
              <w:bottom w:val="single" w:color="01696F" w:sz="1"/>
              <w:right w:val="single" w:color="01696F" w:sz="1"/>
            </w:tcBorders>
            <w:shd w:fill="E3EF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01696F"/>
              </w:rPr>
              <w:t xml:space="preserve">Главный принцип актуальности</w:t>
            </w:r>
          </w:p>
          <w:p>
            <w:pPr>
              <w:spacing w:after="30" w:line="264"/>
            </w:pPr>
            <w:r>
              <w:t xml:space="preserve">Быстро меняющиеся числа (ставки, лимиты) не зашиваются как вечные факты — урок учит находить актуальный источник.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Быстро меняющиеся числа не зашиты как вечные факты.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Пользователь учится находить актуальный источник.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Источник указан или встроен в задание.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Есть предупреждения о риске для тем кредитов, инвестиций, безопасности.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Нет индивидуальной финрекомендации там, где нужна личная оценка.</w:t>
      </w:r>
    </w:p>
    <w:p>
      <w:r>
        <w:br w:type="page"/>
      </w:r>
    </w:p>
    <w:p>
      <w:pPr>
        <w:pStyle w:val="Heading1"/>
      </w:pPr>
      <w:r>
        <w:t xml:space="preserve">7. Связь с Методической рамкой</w:t>
      </w:r>
    </w:p>
    <w:p>
      <w:pPr>
        <w:spacing w:after="120" w:line="276"/>
      </w:pPr>
      <w:r>
        <w:t xml:space="preserve">Этот регламент — производный документ. Источник истины и стратегия остаются в «Методической рамке ФинПульс». При расхождении приоритет у Методической рамки.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Что лежит в Методической рамке</w:t>
            </w:r>
          </w:p>
        </w:tc>
        <w:tc>
          <w:tcPr>
            <w:tcW w:type="dxa" w:w="4873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01696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Что лежит в этом регламенте</w:t>
            </w:r>
          </w:p>
        </w:tc>
      </w:tr>
      <w:tr>
        <w:tc>
          <w:tcPr>
            <w:tcW w:type="dxa" w:w="4873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Программа, уровни владения (1–5), индексы и mastery gates</w:t>
            </w:r>
          </w:p>
        </w:tc>
        <w:tc>
          <w:tcPr>
            <w:tcW w:type="dxa" w:w="4873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Сборка одного урока из 8 экранов</w:t>
            </w:r>
          </w:p>
        </w:tc>
      </w:tr>
      <w:tr>
        <w:tc>
          <w:tcPr>
            <w:tcW w:type="dxa" w:w="4873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Входная диагностика и психотипы (Klontz, Mellan)</w:t>
            </w:r>
          </w:p>
        </w:tc>
        <w:tc>
          <w:tcPr>
            <w:tcW w:type="dxa" w:w="4873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Lesson design brief и шаблон урока</w:t>
            </w:r>
          </w:p>
        </w:tc>
      </w:tr>
      <w:tr>
        <w:tc>
          <w:tcPr>
            <w:tcW w:type="dxa" w:w="4873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B2C/B2B-траектории и B2B-аналитика</w:t>
            </w:r>
          </w:p>
        </w:tc>
        <w:tc>
          <w:tcPr>
            <w:tcW w:type="dxa" w:w="4873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Per-screen описание + JSON-card</w:t>
            </w:r>
          </w:p>
        </w:tc>
      </w:tr>
      <w:tr>
        <w:tc>
          <w:tcPr>
            <w:tcW w:type="dxa" w:w="4873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Механика челленджей и привычек (Fogg, Дахигг)</w:t>
            </w:r>
          </w:p>
        </w:tc>
        <w:tc>
          <w:tcPr>
            <w:tcW w:type="dxa" w:w="4873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shd w:fill="F4F2E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QA-чек-листы и допустимые форматы</w:t>
            </w:r>
          </w:p>
        </w:tc>
      </w:tr>
      <w:tr>
        <w:tc>
          <w:tcPr>
            <w:tcW w:type="dxa" w:w="4873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Предметные области и слой навыков</w:t>
            </w:r>
          </w:p>
        </w:tc>
        <w:tc>
          <w:tcPr>
            <w:tcW w:type="dxa" w:w="4873"/>
            <w:tcBorders>
              <w:top w:val="single" w:color="C9C6BF" w:sz="1"/>
              <w:left w:val="single" w:color="C9C6BF" w:sz="1"/>
              <w:bottom w:val="single" w:color="C9C6BF" w:sz="1"/>
              <w:right w:val="single" w:color="C9C6BF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2"/>
            </w:pPr>
            <w:r>
              <w:t xml:space="preserve">Терминология и правила именования урока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01696F" w:sz="1"/>
              <w:left w:val="single" w:color="01696F" w:sz="24"/>
              <w:bottom w:val="single" w:color="01696F" w:sz="1"/>
              <w:right w:val="single" w:color="01696F" w:sz="1"/>
            </w:tcBorders>
            <w:shd w:fill="E3EFF0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01696F"/>
              </w:rPr>
              <w:t xml:space="preserve">Научная основа (кратко)</w:t>
            </w:r>
          </w:p>
          <w:p>
            <w:pPr>
              <w:spacing w:after="30" w:line="264"/>
            </w:pPr>
            <w:r>
              <w:t xml:space="preserve">Решения уроков опираются на: SDT (автономия/компетентность — выбор и «Свой вариант»), ARCS (мотивационная структура экранов), Bloom revised и mastery learning (лестница целей), Колб (опыт → рефлексия → правило), implementation intentions Голлвитцера (формулировка «Если…, то…» на экране 7), spacing + retrieval (методический мостик к возврату через 7/30 дней без реального напоминания в MVP).</w:t>
            </w:r>
          </w:p>
          <w:p>
            <w:pPr>
              <w:spacing w:after="30" w:line="264"/>
            </w:pPr>
            <w:r>
              <w:t xml:space="preserve">Полные первоисточники и атрибуция концептов — в Приложении A и B Методической рамки ФинПульс.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6B6A64"/>
        <w:sz w:val="16"/>
        <w:szCs w:val="16"/>
      </w:rPr>
      <w:t xml:space="preserve">НЦФГ — Национальный центр финансовой грамотности   |   </w:t>
    </w:r>
    <w:r>
      <w:rPr>
        <w:color w:val="6B6A6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A64"/>
        <w:sz w:val="16"/>
        <w:szCs w:val="16"/>
      </w:rPr>
      <w:t xml:space="preserve"> / </w:t>
    </w:r>
    <w:r>
      <w:rPr>
        <w:color w:val="6B6A6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i/>
        <w:iCs/>
        <w:color w:val="6B6A64"/>
        <w:sz w:val="16"/>
        <w:szCs w:val="16"/>
      </w:rPr>
      <w:t xml:space="preserve">ФинПульс · ИИ-Методист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1696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  <w:rPr>
        <w:b/>
        <w:bCs/>
        <w:color w:val="01696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8251D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20" w:after="140"/>
    </w:pPr>
    <w:rPr>
      <w:b/>
      <w:bCs/>
      <w:color w:val="01696F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keepNext/>
      <w:spacing w:before="240" w:after="100"/>
    </w:pPr>
    <w:rPr>
      <w:b/>
      <w:bCs/>
      <w:color w:val="0C4E54"/>
      <w:sz w:val="25"/>
      <w:szCs w:val="25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b/>
      <w:bCs/>
      <w:i/>
      <w:iCs/>
      <w:color w:val="01696F"/>
      <w:sz w:val="22"/>
      <w:szCs w:val="22"/>
      <w:rFonts w:ascii="Arial" w:cs="Arial" w:eastAsia="Arial" w:hAnsi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ФинПульс — ИИ-Методист: регламент подготовки уроков</dc:title>
  <dc:creator>НЦФГ — Национальный центр финансовой грамотности</dc:creator>
  <cp:lastModifiedBy>Un-named</cp:lastModifiedBy>
  <cp:revision>1</cp:revision>
  <dcterms:created xsi:type="dcterms:W3CDTF">2026-06-11T15:54:22.247Z</dcterms:created>
  <dcterms:modified xsi:type="dcterms:W3CDTF">2026-06-11T15:54:22.247Z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