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C7BFFB" w14:textId="77777777" w:rsidR="00843358" w:rsidRPr="00165780" w:rsidRDefault="00843358" w:rsidP="00843358">
      <w:pPr>
        <w:tabs>
          <w:tab w:val="left" w:pos="7320"/>
        </w:tabs>
        <w:jc w:val="center"/>
        <w:rPr>
          <w:rFonts w:ascii="Verdana" w:hAnsi="Verdana"/>
          <w:b/>
          <w:bCs/>
          <w:sz w:val="32"/>
          <w:szCs w:val="32"/>
        </w:rPr>
      </w:pPr>
      <w:r w:rsidRPr="00165780">
        <w:rPr>
          <w:rFonts w:ascii="Verdana" w:hAnsi="Verdana"/>
          <w:b/>
          <w:bCs/>
          <w:sz w:val="32"/>
          <w:szCs w:val="32"/>
        </w:rPr>
        <w:t>ШАГ 08.01. ФИНАНСОВЫЕ РЫНКИ</w:t>
      </w:r>
    </w:p>
    <w:p w14:paraId="291CD59B" w14:textId="77777777" w:rsidR="00843358" w:rsidRDefault="00843358" w:rsidP="00843358">
      <w:pPr>
        <w:tabs>
          <w:tab w:val="left" w:pos="7320"/>
        </w:tabs>
        <w:rPr>
          <w:rFonts w:ascii="Verdana" w:hAnsi="Verdana"/>
        </w:rPr>
      </w:pPr>
    </w:p>
    <w:p w14:paraId="523B517B" w14:textId="77777777" w:rsidR="00843358" w:rsidRDefault="00843358" w:rsidP="00843358">
      <w:pPr>
        <w:tabs>
          <w:tab w:val="left" w:pos="7320"/>
        </w:tabs>
        <w:jc w:val="center"/>
        <w:rPr>
          <w:rFonts w:ascii="Verdana" w:hAnsi="Verdana"/>
        </w:rPr>
      </w:pPr>
      <w:r>
        <w:rPr>
          <w:rFonts w:ascii="Verdana" w:hAnsi="Verdana"/>
          <w:noProof/>
        </w:rPr>
        <w:drawing>
          <wp:inline distT="0" distB="0" distL="0" distR="0" wp14:anchorId="4E12280F" wp14:editId="2997AF87">
            <wp:extent cx="914400" cy="914400"/>
            <wp:effectExtent l="0" t="0" r="0" b="0"/>
            <wp:docPr id="34" name="Рисунок 34" descr="Ипотека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Ипотека контур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C209" w14:textId="77777777" w:rsidR="00843358" w:rsidRPr="00165780" w:rsidRDefault="00843358" w:rsidP="00843358">
      <w:pPr>
        <w:tabs>
          <w:tab w:val="left" w:pos="7320"/>
        </w:tabs>
        <w:jc w:val="center"/>
        <w:rPr>
          <w:rFonts w:ascii="Verdana" w:hAnsi="Verdana"/>
          <w:sz w:val="28"/>
          <w:szCs w:val="28"/>
        </w:rPr>
      </w:pPr>
      <w:r w:rsidRPr="00165780">
        <w:rPr>
          <w:rFonts w:ascii="Verdana" w:hAnsi="Verdana"/>
          <w:sz w:val="28"/>
          <w:szCs w:val="28"/>
        </w:rPr>
        <w:t xml:space="preserve">Напишите о вашем </w:t>
      </w:r>
      <w:r w:rsidRPr="00165780">
        <w:rPr>
          <w:rFonts w:ascii="Verdana" w:hAnsi="Verdana"/>
          <w:b/>
          <w:bCs/>
          <w:sz w:val="28"/>
          <w:szCs w:val="28"/>
        </w:rPr>
        <w:t>опыте инвестирования</w:t>
      </w:r>
      <w:r w:rsidRPr="00165780">
        <w:rPr>
          <w:rFonts w:ascii="Verdana" w:hAnsi="Verdana"/>
          <w:sz w:val="28"/>
          <w:szCs w:val="28"/>
        </w:rPr>
        <w:t>:</w:t>
      </w:r>
    </w:p>
    <w:p w14:paraId="666DB1C1" w14:textId="77777777" w:rsidR="00843358" w:rsidRDefault="00843358" w:rsidP="00843358">
      <w:pPr>
        <w:tabs>
          <w:tab w:val="left" w:pos="7320"/>
        </w:tabs>
        <w:rPr>
          <w:rFonts w:ascii="Verdana" w:hAnsi="Verdana"/>
        </w:rPr>
      </w:pPr>
    </w:p>
    <w:p w14:paraId="194914D4" w14:textId="77777777" w:rsidR="00843358" w:rsidRPr="00165780" w:rsidRDefault="00843358" w:rsidP="00843358">
      <w:pPr>
        <w:tabs>
          <w:tab w:val="left" w:pos="7320"/>
        </w:tabs>
        <w:jc w:val="center"/>
        <w:rPr>
          <w:rFonts w:ascii="Verdana" w:hAnsi="Verdana"/>
          <w:i/>
          <w:iCs/>
          <w:sz w:val="28"/>
          <w:szCs w:val="28"/>
        </w:rPr>
      </w:pPr>
      <w:r w:rsidRPr="00165780">
        <w:rPr>
          <w:rFonts w:ascii="Verdana" w:hAnsi="Verdana"/>
          <w:i/>
          <w:iCs/>
          <w:sz w:val="28"/>
          <w:szCs w:val="28"/>
        </w:rPr>
        <w:t xml:space="preserve">Почему вы не инвестируете, </w:t>
      </w:r>
      <w:r w:rsidRPr="00165780">
        <w:rPr>
          <w:rFonts w:ascii="Verdana" w:hAnsi="Verdana"/>
          <w:b/>
          <w:bCs/>
          <w:i/>
          <w:iCs/>
          <w:sz w:val="28"/>
          <w:szCs w:val="28"/>
        </w:rPr>
        <w:t>что вам мешает</w:t>
      </w:r>
      <w:r w:rsidRPr="00165780">
        <w:rPr>
          <w:rFonts w:ascii="Verdana" w:hAnsi="Verdana"/>
          <w:i/>
          <w:iCs/>
          <w:sz w:val="28"/>
          <w:szCs w:val="28"/>
        </w:rPr>
        <w:t>, что останавливает?</w:t>
      </w:r>
    </w:p>
    <w:tbl>
      <w:tblPr>
        <w:tblStyle w:val="a3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343"/>
      </w:tblGrid>
      <w:tr w:rsidR="00843358" w14:paraId="57C2398E" w14:textId="77777777" w:rsidTr="006C2C7C">
        <w:tc>
          <w:tcPr>
            <w:tcW w:w="10197" w:type="dxa"/>
          </w:tcPr>
          <w:p w14:paraId="4CF90F6F" w14:textId="0A003445" w:rsidR="00843358" w:rsidRPr="00534D75" w:rsidRDefault="00534D75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Инвестирую, нахожусь в непрерывном обучении, слежу за новостями на каналах </w:t>
            </w:r>
          </w:p>
          <w:p w14:paraId="09D1FC21" w14:textId="77777777" w:rsidR="00843358" w:rsidRDefault="00843358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</w:p>
        </w:tc>
      </w:tr>
    </w:tbl>
    <w:p w14:paraId="5126E5EF" w14:textId="77777777" w:rsidR="00843358" w:rsidRDefault="00843358" w:rsidP="00843358">
      <w:pPr>
        <w:tabs>
          <w:tab w:val="left" w:pos="7320"/>
        </w:tabs>
        <w:rPr>
          <w:rFonts w:ascii="Verdana" w:hAnsi="Verdana"/>
        </w:rPr>
      </w:pPr>
    </w:p>
    <w:p w14:paraId="5C4FEA7F" w14:textId="77777777" w:rsidR="00843358" w:rsidRDefault="00843358" w:rsidP="00843358">
      <w:pPr>
        <w:tabs>
          <w:tab w:val="left" w:pos="7320"/>
        </w:tabs>
        <w:jc w:val="center"/>
        <w:rPr>
          <w:rFonts w:ascii="Verdana" w:hAnsi="Verdana"/>
          <w:i/>
          <w:iCs/>
          <w:sz w:val="28"/>
          <w:szCs w:val="28"/>
        </w:rPr>
      </w:pPr>
      <w:r w:rsidRPr="00165780">
        <w:rPr>
          <w:rFonts w:ascii="Verdana" w:hAnsi="Verdana"/>
          <w:i/>
          <w:iCs/>
          <w:sz w:val="28"/>
          <w:szCs w:val="28"/>
        </w:rPr>
        <w:t xml:space="preserve">Каков ваш инвестиционный опыт? </w:t>
      </w:r>
    </w:p>
    <w:p w14:paraId="00E400D4" w14:textId="77777777" w:rsidR="00843358" w:rsidRPr="00165780" w:rsidRDefault="00843358" w:rsidP="00843358">
      <w:pPr>
        <w:tabs>
          <w:tab w:val="left" w:pos="7320"/>
        </w:tabs>
        <w:jc w:val="center"/>
        <w:rPr>
          <w:rFonts w:ascii="Verdana" w:hAnsi="Verdana"/>
          <w:i/>
          <w:iCs/>
          <w:sz w:val="28"/>
          <w:szCs w:val="28"/>
        </w:rPr>
      </w:pPr>
      <w:r w:rsidRPr="00165780">
        <w:rPr>
          <w:rFonts w:ascii="Verdana" w:hAnsi="Verdana"/>
          <w:i/>
          <w:iCs/>
          <w:sz w:val="28"/>
          <w:szCs w:val="28"/>
        </w:rPr>
        <w:t xml:space="preserve">Куда вы инвестировали, почему </w:t>
      </w:r>
      <w:r w:rsidRPr="00165780">
        <w:rPr>
          <w:rFonts w:ascii="Verdana" w:hAnsi="Verdana"/>
          <w:b/>
          <w:bCs/>
          <w:i/>
          <w:iCs/>
          <w:sz w:val="28"/>
          <w:szCs w:val="28"/>
        </w:rPr>
        <w:t>и каковы результаты</w:t>
      </w:r>
      <w:r w:rsidRPr="00165780">
        <w:rPr>
          <w:rFonts w:ascii="Verdana" w:hAnsi="Verdana"/>
          <w:i/>
          <w:iCs/>
          <w:sz w:val="28"/>
          <w:szCs w:val="28"/>
        </w:rPr>
        <w:t>?</w:t>
      </w:r>
    </w:p>
    <w:p w14:paraId="46006DB4" w14:textId="77777777" w:rsidR="00843358" w:rsidRDefault="00843358" w:rsidP="00843358">
      <w:pPr>
        <w:tabs>
          <w:tab w:val="left" w:pos="7320"/>
        </w:tabs>
        <w:rPr>
          <w:rFonts w:ascii="Verdana" w:hAnsi="Verdana"/>
        </w:rPr>
      </w:pPr>
    </w:p>
    <w:tbl>
      <w:tblPr>
        <w:tblStyle w:val="a3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343"/>
      </w:tblGrid>
      <w:tr w:rsidR="00843358" w14:paraId="27053619" w14:textId="77777777" w:rsidTr="006C2C7C">
        <w:tc>
          <w:tcPr>
            <w:tcW w:w="10197" w:type="dxa"/>
          </w:tcPr>
          <w:p w14:paraId="197D5E12" w14:textId="4D046BD4" w:rsidR="00843358" w:rsidRDefault="00534D75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на Тинькофф</w:t>
            </w:r>
          </w:p>
          <w:p w14:paraId="798EA902" w14:textId="071CAA85" w:rsidR="00843358" w:rsidRDefault="00534D75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Брокерский </w:t>
            </w:r>
            <w:proofErr w:type="gramStart"/>
            <w:r>
              <w:rPr>
                <w:rFonts w:ascii="Verdana" w:hAnsi="Verdana"/>
              </w:rPr>
              <w:t>счет  -</w:t>
            </w:r>
            <w:proofErr w:type="gramEnd"/>
            <w:r>
              <w:rPr>
                <w:rFonts w:ascii="Verdana" w:hAnsi="Verdana"/>
              </w:rPr>
              <w:t xml:space="preserve"> с 04.2022 +4,02% (акции 80%+20 облигации)</w:t>
            </w:r>
          </w:p>
          <w:p w14:paraId="20CA0377" w14:textId="6B162E8B" w:rsidR="00534D75" w:rsidRDefault="00534D75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>ИИС – с 11.2022 - +0,81% (краткосрочные облигации ОФЗ+ корпоративные)</w:t>
            </w:r>
          </w:p>
          <w:p w14:paraId="70F6B513" w14:textId="77777777" w:rsidR="00843358" w:rsidRDefault="00843358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</w:p>
          <w:p w14:paraId="438D83C7" w14:textId="77777777" w:rsidR="00843358" w:rsidRDefault="00843358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</w:p>
        </w:tc>
      </w:tr>
    </w:tbl>
    <w:p w14:paraId="0DF91788" w14:textId="77777777" w:rsidR="00843358" w:rsidRPr="00165780" w:rsidRDefault="00843358" w:rsidP="00843358">
      <w:pPr>
        <w:tabs>
          <w:tab w:val="left" w:pos="7320"/>
        </w:tabs>
        <w:rPr>
          <w:rFonts w:ascii="Verdana" w:hAnsi="Verdana"/>
          <w:i/>
          <w:iCs/>
          <w:sz w:val="28"/>
          <w:szCs w:val="28"/>
        </w:rPr>
      </w:pPr>
    </w:p>
    <w:p w14:paraId="28086398" w14:textId="77777777" w:rsidR="00843358" w:rsidRPr="00165780" w:rsidRDefault="00843358" w:rsidP="00843358">
      <w:pPr>
        <w:tabs>
          <w:tab w:val="left" w:pos="7320"/>
        </w:tabs>
        <w:jc w:val="center"/>
        <w:rPr>
          <w:rFonts w:ascii="Verdana" w:hAnsi="Verdana"/>
          <w:i/>
          <w:iCs/>
          <w:sz w:val="28"/>
          <w:szCs w:val="28"/>
        </w:rPr>
      </w:pPr>
      <w:r w:rsidRPr="00165780">
        <w:rPr>
          <w:rFonts w:ascii="Verdana" w:hAnsi="Verdana"/>
          <w:b/>
          <w:bCs/>
          <w:i/>
          <w:iCs/>
          <w:sz w:val="28"/>
          <w:szCs w:val="28"/>
        </w:rPr>
        <w:t>Какие ошибки</w:t>
      </w:r>
      <w:r w:rsidRPr="00165780">
        <w:rPr>
          <w:rFonts w:ascii="Verdana" w:hAnsi="Verdana"/>
          <w:i/>
          <w:iCs/>
          <w:sz w:val="28"/>
          <w:szCs w:val="28"/>
        </w:rPr>
        <w:t xml:space="preserve"> при инвестировании вы совершали?</w:t>
      </w:r>
    </w:p>
    <w:p w14:paraId="64E197FB" w14:textId="77777777" w:rsidR="00843358" w:rsidRDefault="00843358" w:rsidP="00843358">
      <w:pPr>
        <w:tabs>
          <w:tab w:val="left" w:pos="7320"/>
        </w:tabs>
        <w:rPr>
          <w:rFonts w:ascii="Verdana" w:hAnsi="Verdana"/>
        </w:rPr>
      </w:pPr>
    </w:p>
    <w:tbl>
      <w:tblPr>
        <w:tblStyle w:val="a3"/>
        <w:tblW w:w="0" w:type="auto"/>
        <w:tblBorders>
          <w:top w:val="dashSmallGap" w:sz="2" w:space="0" w:color="808080" w:themeColor="background1" w:themeShade="80"/>
          <w:left w:val="dashSmallGap" w:sz="2" w:space="0" w:color="808080" w:themeColor="background1" w:themeShade="80"/>
          <w:bottom w:val="dashSmallGap" w:sz="2" w:space="0" w:color="808080" w:themeColor="background1" w:themeShade="80"/>
          <w:right w:val="dashSmallGap" w:sz="2" w:space="0" w:color="808080" w:themeColor="background1" w:themeShade="80"/>
          <w:insideH w:val="dashSmallGap" w:sz="2" w:space="0" w:color="808080" w:themeColor="background1" w:themeShade="80"/>
          <w:insideV w:val="dashSmallGap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0197"/>
      </w:tblGrid>
      <w:tr w:rsidR="00843358" w14:paraId="4EAC7BFC" w14:textId="77777777" w:rsidTr="007143F6">
        <w:tc>
          <w:tcPr>
            <w:tcW w:w="10197" w:type="dxa"/>
          </w:tcPr>
          <w:p w14:paraId="3D906940" w14:textId="77777777" w:rsidR="00843358" w:rsidRDefault="00843358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</w:p>
          <w:p w14:paraId="682299C2" w14:textId="77777777" w:rsidR="00843358" w:rsidRDefault="00843358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</w:p>
          <w:p w14:paraId="12719BB2" w14:textId="44BB6497" w:rsidR="00843358" w:rsidRDefault="00534D75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При </w:t>
            </w:r>
            <w:r w:rsidR="007143F6">
              <w:rPr>
                <w:rFonts w:ascii="Verdana" w:hAnsi="Verdana"/>
              </w:rPr>
              <w:t>инвестировании</w:t>
            </w:r>
            <w:r>
              <w:rPr>
                <w:rFonts w:ascii="Verdana" w:hAnsi="Verdana"/>
              </w:rPr>
              <w:t xml:space="preserve"> важно </w:t>
            </w:r>
            <w:r w:rsidR="007143F6">
              <w:rPr>
                <w:rFonts w:ascii="Verdana" w:hAnsi="Verdana"/>
              </w:rPr>
              <w:t>составить стратегию и четко ей следовать. Следить за новостным фоном, подходить к выбору активов осознанно, с учетом волатильности рынка. Не продавать на панике.</w:t>
            </w:r>
            <w:bookmarkStart w:id="0" w:name="_GoBack"/>
            <w:bookmarkEnd w:id="0"/>
            <w:r w:rsidR="007143F6">
              <w:rPr>
                <w:rFonts w:ascii="Verdana" w:hAnsi="Verdana"/>
              </w:rPr>
              <w:t xml:space="preserve"> При </w:t>
            </w:r>
            <w:r w:rsidR="007143F6" w:rsidRPr="007143F6">
              <w:rPr>
                <w:rFonts w:ascii="Verdana" w:hAnsi="Verdana"/>
              </w:rPr>
              <w:t xml:space="preserve">покупке активов </w:t>
            </w:r>
            <w:r>
              <w:rPr>
                <w:rFonts w:ascii="Verdana" w:hAnsi="Verdana"/>
              </w:rPr>
              <w:t>просчитать не только точку входа, но и точку выхода из актива. Своевременно фиксировать прибыль и обязательно диверсифицировать портфель.</w:t>
            </w:r>
          </w:p>
          <w:p w14:paraId="2B6EA494" w14:textId="77777777" w:rsidR="00843358" w:rsidRDefault="00843358" w:rsidP="006C2C7C">
            <w:pPr>
              <w:tabs>
                <w:tab w:val="left" w:pos="7320"/>
              </w:tabs>
              <w:rPr>
                <w:rFonts w:ascii="Verdana" w:hAnsi="Verdana"/>
              </w:rPr>
            </w:pPr>
          </w:p>
        </w:tc>
      </w:tr>
    </w:tbl>
    <w:p w14:paraId="4A1D518E" w14:textId="77777777" w:rsidR="00843358" w:rsidRDefault="00843358" w:rsidP="00843358">
      <w:pPr>
        <w:tabs>
          <w:tab w:val="left" w:pos="7320"/>
        </w:tabs>
        <w:rPr>
          <w:rFonts w:ascii="Verdana" w:hAnsi="Verdana"/>
        </w:rPr>
      </w:pPr>
    </w:p>
    <w:p w14:paraId="68DB2ADD" w14:textId="106E6934" w:rsidR="009F1F6B" w:rsidRPr="00843358" w:rsidRDefault="009F1F6B" w:rsidP="00843358">
      <w:pPr>
        <w:spacing w:line="259" w:lineRule="auto"/>
        <w:rPr>
          <w:rFonts w:ascii="Verdana" w:hAnsi="Verdana"/>
        </w:rPr>
      </w:pPr>
    </w:p>
    <w:sectPr w:rsidR="009F1F6B" w:rsidRPr="00843358" w:rsidSect="00A63C68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358"/>
    <w:rsid w:val="00534D75"/>
    <w:rsid w:val="007143F6"/>
    <w:rsid w:val="00843358"/>
    <w:rsid w:val="009F1F6B"/>
    <w:rsid w:val="00A6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5D7C2"/>
  <w15:chartTrackingRefBased/>
  <w15:docId w15:val="{DBB89C2F-57E8-BC42-807C-0B3984DA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3358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843358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Константин Бабарыкин</cp:lastModifiedBy>
  <cp:revision>2</cp:revision>
  <dcterms:created xsi:type="dcterms:W3CDTF">2021-09-08T06:34:00Z</dcterms:created>
  <dcterms:modified xsi:type="dcterms:W3CDTF">2023-03-07T13:44:00Z</dcterms:modified>
</cp:coreProperties>
</file>