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5F606" w14:textId="77777777" w:rsidR="00E65496" w:rsidRPr="00E65496" w:rsidRDefault="00E65496" w:rsidP="00E65496">
      <w:pPr>
        <w:ind w:firstLineChars="200" w:firstLine="560"/>
        <w:jc w:val="center"/>
        <w:rPr>
          <w:rFonts w:ascii="Arial" w:hAnsi="Arial" w:cs="Arial"/>
          <w:sz w:val="28"/>
          <w:szCs w:val="28"/>
        </w:rPr>
      </w:pPr>
      <w:r w:rsidRPr="00E65496">
        <w:rPr>
          <w:rFonts w:ascii="Arial" w:hAnsi="Arial" w:cs="Arial"/>
          <w:sz w:val="28"/>
          <w:szCs w:val="28"/>
        </w:rPr>
        <w:t>Spacetime Unified Substrate Configuration Theory:</w:t>
      </w:r>
    </w:p>
    <w:p w14:paraId="121C3194" w14:textId="77777777" w:rsidR="00E65496" w:rsidRPr="00E65496" w:rsidRDefault="00E65496" w:rsidP="00E65496">
      <w:pPr>
        <w:ind w:firstLineChars="200" w:firstLine="560"/>
        <w:jc w:val="center"/>
        <w:rPr>
          <w:rFonts w:ascii="Arial" w:hAnsi="Arial" w:cs="Arial"/>
          <w:sz w:val="28"/>
          <w:szCs w:val="28"/>
        </w:rPr>
      </w:pPr>
      <w:r w:rsidRPr="00E65496">
        <w:rPr>
          <w:rFonts w:ascii="Arial" w:hAnsi="Arial" w:cs="Arial"/>
          <w:sz w:val="28"/>
          <w:szCs w:val="28"/>
        </w:rPr>
        <w:t>A Cosmological Unified Model Based on Continuous Medium Phase Transitions</w:t>
      </w:r>
    </w:p>
    <w:p w14:paraId="5EA6B5BC" w14:textId="77777777" w:rsidR="00E65496" w:rsidRPr="00E65496" w:rsidRDefault="00E65496" w:rsidP="00E65496">
      <w:pPr>
        <w:ind w:firstLineChars="200" w:firstLine="480"/>
        <w:rPr>
          <w:rFonts w:ascii="Arial" w:hAnsi="Arial" w:cs="Arial"/>
          <w:b/>
          <w:bCs/>
          <w:sz w:val="24"/>
          <w:szCs w:val="24"/>
        </w:rPr>
      </w:pPr>
      <w:r w:rsidRPr="00E65496">
        <w:rPr>
          <w:rFonts w:ascii="Arial" w:hAnsi="Arial" w:cs="Arial"/>
          <w:b/>
          <w:bCs/>
          <w:sz w:val="24"/>
          <w:szCs w:val="24"/>
        </w:rPr>
        <w:t>Abstract</w:t>
      </w:r>
    </w:p>
    <w:p w14:paraId="3C96C543"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This paper constructs the axiomatic Spacetime Phase Theory (SPT), grounded in a global continuous spacetime ontology without presupposing discrete microscopic quantum structures of spacetime. It extends the configurational gravity description system based on traditional scalar-tensor gravity theories to provide theoretical explanations for key problems in cosmology and fundamental physics. The theory strictly satisfies Lorentz covariance, is mathematically self-consistent with general relativity, and is compatible with core observational data from Planck 2018, including cosmic microwave background temperature anisotropies and baryon acoustic oscillations. All core inferences of this theory do not violate experimentally verified fundamental physical laws. Adhering to the monistic origin principle, it does not presuppose dark matter particles, independent dark energy entities, multiple fundamental quantum fields, or any additional entities beyond spacetime. It proposes that all observable physical phenomena may be external manifestations of configurational evolution and local constraint responses of a unified continuous substrate.</w:t>
      </w:r>
    </w:p>
    <w:p w14:paraId="7F1A7E9E"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The theory does not make rigid assumptions about the initial intrinsic state of the substrate, taking only deformation and phase transition as core evolution rules. The unified substrate can undergo successive phase transitions: contracted configurations correspond to dark matter components, and the potential energy effect of extended configurations manifests as dark energy. The physical origin of the MOND phenomenological law is identified as the critical point of the first-order phase transition of the substrate, and the Hubble constant tension arises from spatial domain phase transitions of the substrate during cosmic evolution. This theory explicitly establishes hierarchical compatibility between macroscopic spacetime substrate evolution and microscopic particle physics systems: microscopic scales fully adopt existing mature particle physics and quantum mechanics laws, while only macroscopic spacetime gravity and cosmic evolution are dominated by substrate configurational mechanisms. The substrate possesses an intrinsic entropy-like increasing property, with an irreversible unidirectional evolution from order to disorder. This theory can uniformly explain fundamental physical problems such as the nature of gravity, quantum nonlocality, and antimatter gravitational symmetry, while listing multiple falsifiable research predictions with complete verification value, providing a self-consistent and reasonable new research direction for breaking the ΛCDM theoretical paradigm.</w:t>
      </w:r>
    </w:p>
    <w:p w14:paraId="36786717"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Keywords</w:t>
      </w:r>
    </w:p>
    <w:p w14:paraId="4417A237"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lastRenderedPageBreak/>
        <w:t>Spacetime Unified Substrate; Configurational Scalar-Tensor Gravity; Dark Matter; Modified Newtonian Dynamics (MOND); Hubble Constant Tension; Falsifiability; Spacetime Entropy Increase; Hierarchical Physical System</w:t>
      </w:r>
    </w:p>
    <w:p w14:paraId="2DF0B53B" w14:textId="77777777" w:rsidR="00E65496" w:rsidRDefault="00E65496" w:rsidP="00E65496">
      <w:pPr>
        <w:ind w:firstLineChars="200" w:firstLine="480"/>
        <w:rPr>
          <w:rFonts w:ascii="Arial" w:hAnsi="Arial" w:cs="Arial"/>
          <w:sz w:val="24"/>
          <w:szCs w:val="24"/>
        </w:rPr>
      </w:pPr>
    </w:p>
    <w:p w14:paraId="59B6EF0C" w14:textId="12ED1FFC" w:rsidR="00E65496" w:rsidRPr="00E65496" w:rsidRDefault="00E65496" w:rsidP="00E65496">
      <w:pPr>
        <w:ind w:firstLineChars="200" w:firstLine="480"/>
        <w:rPr>
          <w:rFonts w:ascii="Arial" w:hAnsi="Arial" w:cs="Arial"/>
          <w:b/>
          <w:bCs/>
          <w:sz w:val="24"/>
          <w:szCs w:val="24"/>
        </w:rPr>
      </w:pPr>
      <w:r w:rsidRPr="00E65496">
        <w:rPr>
          <w:rFonts w:ascii="Arial" w:hAnsi="Arial" w:cs="Arial"/>
          <w:b/>
          <w:bCs/>
          <w:sz w:val="24"/>
          <w:szCs w:val="24"/>
        </w:rPr>
        <w:t>1. Introduction</w:t>
      </w:r>
    </w:p>
    <w:p w14:paraId="59FD7BBF"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Modern cosmology and fundamental physics are facing multiple long-standing dilemmas: decades of dark matter particle detection have yielded no substantive progress, unification research of the four fundamental forces has stagnated, as of 2026, the Hubble constant observational tension has expanded to above 5σ confidence level, and the widespread success of Modified Newtonian Dynamics (MOND) on galactic scales has always lacked a reasonable physical origin. The mainstream ΛCDM model relies on numerous unproven hypotheses and requires continuous introduction of additional parameters such as early dark energy and sterile neutrinos to patch observational contradictions, which to some extent violates the simplicity requirement of Occam's razor principle.</w:t>
      </w:r>
    </w:p>
    <w:p w14:paraId="6C8126CD"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This paper proposes a monistic cosmological model based on continuous medium phase transitions: without presupposing any entities beyond spacetime, all physical phenomena originate from the configurational evolution of a unified substrate. Dark matter and dark energy are not independent cosmic components but phase manifestations of the same substrate at different evolutionary stages and spatial regions. Gravity is a macroscopic emergent effect of global configurational changes of the substrate, belonging to a different dynamical hierarchy from electromagnetic, strong, and weak interactions. The theory adopts a hierarchical compatible architecture: microscopic particle interactions and quantum mechanics laws fully adopt existing mature physical systems without reconstructing microscopic physical rules, while only macroscopic spacetime and gravitational evolution are dominated by substrate configurational mechanisms. Meanwhile, the substrate possesses an irreversible entropy-like increasing evolutionary property, laying the underlying logic for the unidirectional evolution of the universe. This theory fundamentally avoids the logical defects of traditional models and achieves a unified interpretation of core physical problems in multiple fields.</w:t>
      </w:r>
    </w:p>
    <w:p w14:paraId="780C9094" w14:textId="77777777" w:rsidR="00E65496" w:rsidRDefault="00E65496" w:rsidP="00E65496">
      <w:pPr>
        <w:ind w:firstLineChars="200" w:firstLine="480"/>
        <w:rPr>
          <w:rFonts w:ascii="Arial" w:hAnsi="Arial" w:cs="Arial"/>
          <w:sz w:val="24"/>
          <w:szCs w:val="24"/>
        </w:rPr>
      </w:pPr>
    </w:p>
    <w:p w14:paraId="31BA6D33" w14:textId="06655222" w:rsidR="00E65496" w:rsidRPr="00E65496" w:rsidRDefault="00E65496" w:rsidP="00E65496">
      <w:pPr>
        <w:ind w:firstLineChars="200" w:firstLine="480"/>
        <w:rPr>
          <w:rFonts w:ascii="Arial" w:hAnsi="Arial" w:cs="Arial"/>
          <w:b/>
          <w:bCs/>
          <w:sz w:val="24"/>
          <w:szCs w:val="24"/>
        </w:rPr>
      </w:pPr>
      <w:r w:rsidRPr="00E65496">
        <w:rPr>
          <w:rFonts w:ascii="Arial" w:hAnsi="Arial" w:cs="Arial"/>
          <w:b/>
          <w:bCs/>
          <w:sz w:val="24"/>
          <w:szCs w:val="24"/>
        </w:rPr>
        <w:t>2. Core Theoretical Interpretations</w:t>
      </w:r>
    </w:p>
    <w:p w14:paraId="57FC1890"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2.1 Unified Continuous Substrate Hypothesis</w:t>
      </w:r>
    </w:p>
    <w:p w14:paraId="7D4740BF"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 xml:space="preserve">This theory postulates the existence of a unique fundamental unified continuous substrate in the universe, with no detectable internal structure at current observational scales. Its form transcends the classical dual division of matter and energy, serving as the common carrier foundation for spacetime, ordinary matter, dark matter, and various interactions. Matter is not an entity independent of spacetime but is completely embedded within the unified substrate. Their relationship is analogous to that of bubbles in water: matter is a local configuration formed by highly concentrated energy density of the </w:t>
      </w:r>
      <w:r w:rsidRPr="00E65496">
        <w:rPr>
          <w:rFonts w:ascii="Arial" w:hAnsi="Arial" w:cs="Arial"/>
          <w:sz w:val="24"/>
          <w:szCs w:val="24"/>
        </w:rPr>
        <w:lastRenderedPageBreak/>
        <w:t>substrate, and no free matter exists detached from the substrate.</w:t>
      </w:r>
    </w:p>
    <w:p w14:paraId="318BE9EE"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The theory adheres to the state neutrality principle, not pre-judging whether the initial substrate is solid, liquid, or gaseous. The macroscopic states of ordinary matter serve only as popular analogies and not as theoretical judgment criteria. The entire theory is deduced based on the dynamic laws of substrate deformation and phase transition, and the initial state does not alter the phase transition mechanism or gravitational action logic. Dark matter is defined as a contracted configuration formed by substrate evolution, not an independent microscopic particle, classical ether, or other foreign medium.</w:t>
      </w:r>
    </w:p>
    <w:p w14:paraId="5F9A23C1"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This theory adopts a hierarchical compatible physical architecture: at microscopic scales, all microscopic physical phenomena including elementary particle composition, strong/weak/electromagnetic interactions, quantum mechanics laws, and particle reactions fully adopt existing experimentally verified particle physics and quantum mechanics systems without adding new microscopic physical rules; at macroscopic scales, spacetime evolution, gravitational effects, and large-scale cosmic structure formation are dominated by the substrate's own configurational evolution laws. The two systems operate in parallel and self-consistently without conflict.</w:t>
      </w:r>
    </w:p>
    <w:p w14:paraId="375A8A37"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 xml:space="preserve">The substrate ontology possesses extremely high stability. Physical processes at ordinary energy scales such as conventional celestial motion, particle collisions, and matter interactions can only cause slight local deformations of the substrate and cannot interfere with or shake its essential properties. Only under extreme ultra-high energy environments can matter have the possibility of slightly perturbing the deep configuration of the </w:t>
      </w:r>
      <w:proofErr w:type="gramStart"/>
      <w:r w:rsidRPr="00E65496">
        <w:rPr>
          <w:rFonts w:ascii="Arial" w:hAnsi="Arial" w:cs="Arial"/>
          <w:sz w:val="24"/>
          <w:szCs w:val="24"/>
        </w:rPr>
        <w:t>substrate, and</w:t>
      </w:r>
      <w:proofErr w:type="gramEnd"/>
      <w:r w:rsidRPr="00E65496">
        <w:rPr>
          <w:rFonts w:ascii="Arial" w:hAnsi="Arial" w:cs="Arial"/>
          <w:sz w:val="24"/>
          <w:szCs w:val="24"/>
        </w:rPr>
        <w:t xml:space="preserve"> cannot reverse the overall evolutionary trend of the substrate.</w:t>
      </w:r>
    </w:p>
    <w:p w14:paraId="2775376C"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2.2 Configuration Change Mechanism</w:t>
      </w:r>
    </w:p>
    <w:p w14:paraId="56DC0319"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The essential properties of the substrate itself do not change, and the evolutionary process only includes two types of state changes: deformation and phase transition. Deformation is a gradual process of compression, bending, and density distribution adjustment caused by external actions; phase transition is a sudden structural reconstruction of the substrate when deformation accumulates to a critical threshold. Both types of changes only reshape the external form of the substrate and do not generate new fundamental entities.</w:t>
      </w:r>
    </w:p>
    <w:p w14:paraId="516FC041"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 xml:space="preserve">The initial quantum fluctuations of the substrate are the primary deformation source, and matter aggregation is a secondary product of deformation gradients. After formation, matter reacts back </w:t>
      </w:r>
      <w:proofErr w:type="gramStart"/>
      <w:r w:rsidRPr="00E65496">
        <w:rPr>
          <w:rFonts w:ascii="Arial" w:hAnsi="Arial" w:cs="Arial"/>
          <w:sz w:val="24"/>
          <w:szCs w:val="24"/>
        </w:rPr>
        <w:t>on</w:t>
      </w:r>
      <w:proofErr w:type="gramEnd"/>
      <w:r w:rsidRPr="00E65496">
        <w:rPr>
          <w:rFonts w:ascii="Arial" w:hAnsi="Arial" w:cs="Arial"/>
          <w:sz w:val="24"/>
          <w:szCs w:val="24"/>
        </w:rPr>
        <w:t xml:space="preserve"> the substrate deformation field through the energy-momentum tensor, forming a feedback loop.</w:t>
      </w:r>
    </w:p>
    <w:p w14:paraId="472F6637"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2.3 Spacetime Positioning</w:t>
      </w:r>
    </w:p>
    <w:p w14:paraId="00711557"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 xml:space="preserve">The three-dimensional spacetime we observe is a manifestation of the extended configuration of the unified substrate at macroscopic scales, belonging to a component of the substrate system rather than the fundamental ontology of the universe. All evolutionary characteristics of spacetime such as curvature and expansion are directly determined by substrate configurational </w:t>
      </w:r>
      <w:r w:rsidRPr="00E65496">
        <w:rPr>
          <w:rFonts w:ascii="Arial" w:hAnsi="Arial" w:cs="Arial"/>
          <w:sz w:val="24"/>
          <w:szCs w:val="24"/>
        </w:rPr>
        <w:lastRenderedPageBreak/>
        <w:t>changes.</w:t>
      </w:r>
    </w:p>
    <w:p w14:paraId="283EBFFB" w14:textId="77777777" w:rsidR="00E65496" w:rsidRDefault="00E65496" w:rsidP="00E65496">
      <w:pPr>
        <w:ind w:firstLineChars="200" w:firstLine="480"/>
        <w:rPr>
          <w:rFonts w:ascii="Arial" w:hAnsi="Arial" w:cs="Arial"/>
          <w:sz w:val="24"/>
          <w:szCs w:val="24"/>
        </w:rPr>
      </w:pPr>
    </w:p>
    <w:p w14:paraId="0D4C576A" w14:textId="151380BE" w:rsidR="00E65496" w:rsidRPr="00E65496" w:rsidRDefault="00E65496" w:rsidP="00E65496">
      <w:pPr>
        <w:ind w:firstLineChars="200" w:firstLine="480"/>
        <w:rPr>
          <w:rFonts w:ascii="Arial" w:hAnsi="Arial" w:cs="Arial"/>
          <w:b/>
          <w:bCs/>
          <w:sz w:val="24"/>
          <w:szCs w:val="24"/>
        </w:rPr>
      </w:pPr>
      <w:r w:rsidRPr="00E65496">
        <w:rPr>
          <w:rFonts w:ascii="Arial" w:hAnsi="Arial" w:cs="Arial"/>
          <w:b/>
          <w:bCs/>
          <w:sz w:val="24"/>
          <w:szCs w:val="24"/>
        </w:rPr>
        <w:t>3. Core Axiom System (Basic Theoretical Assumptions)</w:t>
      </w:r>
    </w:p>
    <w:p w14:paraId="44C248D0" w14:textId="77777777" w:rsidR="00E65496" w:rsidRPr="00E65496" w:rsidRDefault="00E65496" w:rsidP="00E65496">
      <w:pPr>
        <w:numPr>
          <w:ilvl w:val="0"/>
          <w:numId w:val="17"/>
        </w:numPr>
        <w:ind w:firstLineChars="200" w:firstLine="480"/>
        <w:rPr>
          <w:rFonts w:ascii="Arial" w:hAnsi="Arial" w:cs="Arial"/>
          <w:sz w:val="24"/>
          <w:szCs w:val="24"/>
        </w:rPr>
      </w:pPr>
      <w:r w:rsidRPr="00E65496">
        <w:rPr>
          <w:rFonts w:ascii="Arial" w:hAnsi="Arial" w:cs="Arial"/>
          <w:sz w:val="24"/>
          <w:szCs w:val="24"/>
        </w:rPr>
        <w:t>The substrate possesses intrinsic elasticity and can undergo global or local continuous deformations;</w:t>
      </w:r>
    </w:p>
    <w:p w14:paraId="6C702798" w14:textId="77777777" w:rsidR="00E65496" w:rsidRPr="00E65496" w:rsidRDefault="00E65496" w:rsidP="00E65496">
      <w:pPr>
        <w:numPr>
          <w:ilvl w:val="0"/>
          <w:numId w:val="17"/>
        </w:numPr>
        <w:ind w:firstLineChars="200" w:firstLine="480"/>
        <w:rPr>
          <w:rFonts w:ascii="Arial" w:hAnsi="Arial" w:cs="Arial"/>
          <w:sz w:val="24"/>
          <w:szCs w:val="24"/>
        </w:rPr>
      </w:pPr>
      <w:r w:rsidRPr="00E65496">
        <w:rPr>
          <w:rFonts w:ascii="Arial" w:hAnsi="Arial" w:cs="Arial"/>
          <w:sz w:val="24"/>
          <w:szCs w:val="24"/>
        </w:rPr>
        <w:t>The substrate has an intrinsic critical deformation threshold, which may trigger structural phase transitions when local deformation accumulates to this threshold;</w:t>
      </w:r>
    </w:p>
    <w:p w14:paraId="25ABD414" w14:textId="77777777" w:rsidR="00E65496" w:rsidRPr="00E65496" w:rsidRDefault="00E65496" w:rsidP="00E65496">
      <w:pPr>
        <w:numPr>
          <w:ilvl w:val="0"/>
          <w:numId w:val="17"/>
        </w:numPr>
        <w:ind w:firstLineChars="200" w:firstLine="480"/>
        <w:rPr>
          <w:rFonts w:ascii="Arial" w:hAnsi="Arial" w:cs="Arial"/>
          <w:sz w:val="24"/>
          <w:szCs w:val="24"/>
        </w:rPr>
      </w:pPr>
      <w:r w:rsidRPr="00E65496">
        <w:rPr>
          <w:rFonts w:ascii="Arial" w:hAnsi="Arial" w:cs="Arial"/>
          <w:sz w:val="24"/>
          <w:szCs w:val="24"/>
        </w:rPr>
        <w:t xml:space="preserve">The substrate possesses an intrinsic entropy-like increasing evolutionary property. The universe </w:t>
      </w:r>
      <w:proofErr w:type="gramStart"/>
      <w:r w:rsidRPr="00E65496">
        <w:rPr>
          <w:rFonts w:ascii="Arial" w:hAnsi="Arial" w:cs="Arial"/>
          <w:sz w:val="24"/>
          <w:szCs w:val="24"/>
        </w:rPr>
        <w:t>as a whole always</w:t>
      </w:r>
      <w:proofErr w:type="gramEnd"/>
      <w:r w:rsidRPr="00E65496">
        <w:rPr>
          <w:rFonts w:ascii="Arial" w:hAnsi="Arial" w:cs="Arial"/>
          <w:sz w:val="24"/>
          <w:szCs w:val="24"/>
        </w:rPr>
        <w:t xml:space="preserve"> follows the trend of evolution from order to disorder, with an irreversible unidirectional process. This trend forms a dynamic balance with the elastic restoring force of the substrate, dominating the global macroscopic evolution of the universe. Local matter can form small-scale ordered structures and produce local entropy reduction, but cannot reverse the global entropy-increasing evolutionary trend of the substrate;</w:t>
      </w:r>
    </w:p>
    <w:p w14:paraId="4BF3BF6F" w14:textId="77777777" w:rsidR="00E65496" w:rsidRPr="00E65496" w:rsidRDefault="00E65496" w:rsidP="00E65496">
      <w:pPr>
        <w:numPr>
          <w:ilvl w:val="0"/>
          <w:numId w:val="17"/>
        </w:numPr>
        <w:ind w:firstLineChars="200" w:firstLine="480"/>
        <w:rPr>
          <w:rFonts w:ascii="Arial" w:hAnsi="Arial" w:cs="Arial"/>
          <w:sz w:val="24"/>
          <w:szCs w:val="24"/>
        </w:rPr>
      </w:pPr>
      <w:r w:rsidRPr="00E65496">
        <w:rPr>
          <w:rFonts w:ascii="Arial" w:hAnsi="Arial" w:cs="Arial"/>
          <w:sz w:val="24"/>
          <w:szCs w:val="24"/>
        </w:rPr>
        <w:t>Weak Coupling Autonomous Evolution Hypothesis: The dynamic evolution and spontaneous phase transition processes of the unified substrate are mainly dominated by intrinsic properties such as its own elastic potential energy and entropy-increasing trend. The back-coupling strength of the energy-momentum tensor of ordinary matter to the global configurational evolution of the substrate is much lower than the driving strength of the substrate's own elastic potential energy and entropy-increasing trend, providing only weak local constraints and having negligible effects on the global evolution and large-scale phase transition processes of the substrate. This back-action may produce observable significant effects only in extreme high-energy environments or near supermassive compact objects.</w:t>
      </w:r>
    </w:p>
    <w:p w14:paraId="676808F2" w14:textId="77777777" w:rsidR="00E65496" w:rsidRPr="00E65496" w:rsidRDefault="00E65496" w:rsidP="00E65496">
      <w:pPr>
        <w:ind w:firstLineChars="200" w:firstLine="480"/>
        <w:rPr>
          <w:rFonts w:ascii="Arial" w:hAnsi="Arial" w:cs="Arial"/>
          <w:b/>
          <w:bCs/>
          <w:sz w:val="24"/>
          <w:szCs w:val="24"/>
        </w:rPr>
      </w:pPr>
    </w:p>
    <w:p w14:paraId="6103D9B1" w14:textId="0A57DA8D" w:rsidR="00E65496" w:rsidRPr="00E65496" w:rsidRDefault="00E65496" w:rsidP="00E65496">
      <w:pPr>
        <w:ind w:firstLineChars="200" w:firstLine="480"/>
        <w:rPr>
          <w:rFonts w:ascii="Arial" w:hAnsi="Arial" w:cs="Arial"/>
          <w:b/>
          <w:bCs/>
          <w:sz w:val="24"/>
          <w:szCs w:val="24"/>
        </w:rPr>
      </w:pPr>
      <w:r w:rsidRPr="00E65496">
        <w:rPr>
          <w:rFonts w:ascii="Arial" w:hAnsi="Arial" w:cs="Arial"/>
          <w:b/>
          <w:bCs/>
          <w:sz w:val="24"/>
          <w:szCs w:val="24"/>
        </w:rPr>
        <w:t>4. Core Physical Logic (Inferences Based on Axioms)</w:t>
      </w:r>
    </w:p>
    <w:p w14:paraId="6BC3495E"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4.1 Hypothesis on the Origin of Gravity</w:t>
      </w:r>
    </w:p>
    <w:p w14:paraId="3DE294D5"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 xml:space="preserve">Local deformation gradients of the substrate directly create spatial curvature and gravitational gradients, which is the core reason for the generation of gravity. Conventional </w:t>
      </w:r>
      <w:proofErr w:type="gramStart"/>
      <w:r w:rsidRPr="00E65496">
        <w:rPr>
          <w:rFonts w:ascii="Arial" w:hAnsi="Arial" w:cs="Arial"/>
          <w:sz w:val="24"/>
          <w:szCs w:val="24"/>
        </w:rPr>
        <w:t>matter</w:t>
      </w:r>
      <w:proofErr w:type="gramEnd"/>
      <w:r w:rsidRPr="00E65496">
        <w:rPr>
          <w:rFonts w:ascii="Arial" w:hAnsi="Arial" w:cs="Arial"/>
          <w:sz w:val="24"/>
          <w:szCs w:val="24"/>
        </w:rPr>
        <w:t xml:space="preserve"> such as celestial bodies and microscopic particles passively aggregate within the gravitational potential wells formed by substrate deformations, and </w:t>
      </w:r>
      <w:proofErr w:type="gramStart"/>
      <w:r w:rsidRPr="00E65496">
        <w:rPr>
          <w:rFonts w:ascii="Arial" w:hAnsi="Arial" w:cs="Arial"/>
          <w:sz w:val="24"/>
          <w:szCs w:val="24"/>
        </w:rPr>
        <w:t>matter mass</w:t>
      </w:r>
      <w:proofErr w:type="gramEnd"/>
      <w:r w:rsidRPr="00E65496">
        <w:rPr>
          <w:rFonts w:ascii="Arial" w:hAnsi="Arial" w:cs="Arial"/>
          <w:sz w:val="24"/>
          <w:szCs w:val="24"/>
        </w:rPr>
        <w:t xml:space="preserve"> does not dominate gravity generation. Gravity is a macroscopic emergent effect produced by global configurational changes of the substrate, while electromagnetic, strong, and weak interactions are classified as local constraint effects of the substrate, with significantly different dynamical essences. The current framework of this theory does not pursue the unification of the four fundamental interactions but explicitly distinguishes the different essences between macroscopic gravitational emergent effects and microscopic local interactions. Microscopic particle interactions fully follow existing quantum physics and particle physics </w:t>
      </w:r>
      <w:r w:rsidRPr="00E65496">
        <w:rPr>
          <w:rFonts w:ascii="Arial" w:hAnsi="Arial" w:cs="Arial"/>
          <w:sz w:val="24"/>
          <w:szCs w:val="24"/>
        </w:rPr>
        <w:lastRenderedPageBreak/>
        <w:t>laws, operating hierarchically and independently from macroscopic substrate gravitational evolution.</w:t>
      </w:r>
    </w:p>
    <w:p w14:paraId="3874889F"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4.2 Deformation-Phase Transition Critical Mechanism</w:t>
      </w:r>
    </w:p>
    <w:p w14:paraId="69A9FC0C"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The substrate continuously undergoes elastic deformation. When the local deformation gradient accumulates to the universal cosmic characteristic threshold a</w:t>
      </w:r>
      <w:r w:rsidRPr="00E65496">
        <w:rPr>
          <w:rFonts w:ascii="Cambria Math" w:hAnsi="Cambria Math" w:cs="Cambria Math"/>
          <w:sz w:val="24"/>
          <w:szCs w:val="24"/>
        </w:rPr>
        <w:t>₀</w:t>
      </w:r>
      <w:r w:rsidRPr="00E65496">
        <w:rPr>
          <w:rFonts w:ascii="Arial" w:hAnsi="Arial" w:cs="Arial"/>
          <w:sz w:val="24"/>
          <w:szCs w:val="24"/>
        </w:rPr>
        <w:t xml:space="preserve"> ≈ 1.2×10</w:t>
      </w:r>
      <w:r w:rsidRPr="00E65496">
        <w:rPr>
          <w:rFonts w:ascii="Cambria Math" w:hAnsi="Cambria Math" w:cs="Cambria Math"/>
          <w:sz w:val="24"/>
          <w:szCs w:val="24"/>
        </w:rPr>
        <w:t>⁻</w:t>
      </w:r>
      <w:r w:rsidRPr="00E65496">
        <w:rPr>
          <w:rFonts w:ascii="Arial" w:hAnsi="Arial" w:cs="Arial"/>
          <w:sz w:val="24"/>
          <w:szCs w:val="24"/>
        </w:rPr>
        <w:t>¹⁰ m/s² (consistent with the critical acceleration observed in MOND), it will most likely trigger a first-order phase transition, transforming the substrate from an extended form to a contracted form. This threshold is determined by the balance between the substrate's elastic potential energy and the cosmic entropy-increasing trend, belonging to an intrinsic property of the substrate. It is not a constant fixed value but fluctuates slightly with local constraint strength and spatial energy density.</w:t>
      </w:r>
    </w:p>
    <w:p w14:paraId="393752B8"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4.3 Possible Origin of MOND Phenomenological Law</w:t>
      </w:r>
    </w:p>
    <w:p w14:paraId="1A6D2813"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The critical acceleration characteristic observed in MOND corresponds to the phase transition critical point from the extended phase to the contracted phase of the substrate. When the local gravitational acceleration is much greater than the characteristic threshold, matter local constraints can suppress the generation of the contracted phase, and gravitational laws conform to Newtonian mechanics and general relativity. When the local gravitational acceleration is much lower than the threshold, the substrate autonomously completes the phase transition and forms a contracted structure, deriving additional gravitational effects that match the observational phenomena in the low-acceleration regime of MOND.</w:t>
      </w:r>
    </w:p>
    <w:p w14:paraId="68A72276"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Local matter can exert an inhibitory effect on substrate phase transitions, based on which the baryonic Tully-Fisher relation can be derived. Meanwhile, the phase transition threshold changes synchronously with spatial constraint strength: the higher the temperature and density of hot gas in galaxy clusters, the higher the corresponding phase transition threshold value, which can naturally explain the failure of MOND laws on galaxy cluster scales.</w:t>
      </w:r>
    </w:p>
    <w:p w14:paraId="6EE20698"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4.4 Potential Explanation for the Hubble Constant Tension</w:t>
      </w:r>
    </w:p>
    <w:p w14:paraId="7023ED7A"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During the photon decoupling epoch in the early universe, the global substrate had not yet undergone large-scale phase transitions and maintained a uniformly extended state. The spatial expansion rate was determined by the global average potential energy, corresponding to the Hubble constant H</w:t>
      </w:r>
      <w:r w:rsidRPr="00E65496">
        <w:rPr>
          <w:rFonts w:ascii="Cambria Math" w:hAnsi="Cambria Math" w:cs="Cambria Math"/>
          <w:sz w:val="24"/>
          <w:szCs w:val="24"/>
        </w:rPr>
        <w:t>₀</w:t>
      </w:r>
      <w:r w:rsidRPr="00E65496">
        <w:rPr>
          <w:rFonts w:ascii="Arial" w:hAnsi="Arial" w:cs="Arial"/>
          <w:sz w:val="24"/>
          <w:szCs w:val="24"/>
        </w:rPr>
        <w:t xml:space="preserve"> ≈ 67.4 km/s/Mpc measured from the cosmic microwave background.</w:t>
      </w:r>
    </w:p>
    <w:p w14:paraId="2D5A4FB1"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With the continuous evolution of the universe, the substrate gradually undergoes regional domain phase transitions. The proportion of contracted substrate configurations in nearby cosmic space increases, and the inherent potential energy of this form raises the local spatial expansion rate, matching the high Hubble constant H</w:t>
      </w:r>
      <w:r w:rsidRPr="00E65496">
        <w:rPr>
          <w:rFonts w:ascii="Cambria Math" w:hAnsi="Cambria Math" w:cs="Cambria Math"/>
          <w:sz w:val="24"/>
          <w:szCs w:val="24"/>
        </w:rPr>
        <w:t>₀</w:t>
      </w:r>
      <w:r w:rsidRPr="00E65496">
        <w:rPr>
          <w:rFonts w:ascii="Arial" w:hAnsi="Arial" w:cs="Arial"/>
          <w:sz w:val="24"/>
          <w:szCs w:val="24"/>
        </w:rPr>
        <w:t xml:space="preserve"> ≈ 73.0 km/s/Mpc observed from nearby celestial bodies. The observed difference in Hubble constants originates from the staged phase transitions of the substrate and spatial phase distribution </w:t>
      </w:r>
      <w:proofErr w:type="gramStart"/>
      <w:r w:rsidRPr="00E65496">
        <w:rPr>
          <w:rFonts w:ascii="Arial" w:hAnsi="Arial" w:cs="Arial"/>
          <w:sz w:val="24"/>
          <w:szCs w:val="24"/>
        </w:rPr>
        <w:t>differences, and</w:t>
      </w:r>
      <w:proofErr w:type="gramEnd"/>
      <w:r w:rsidRPr="00E65496">
        <w:rPr>
          <w:rFonts w:ascii="Arial" w:hAnsi="Arial" w:cs="Arial"/>
          <w:sz w:val="24"/>
          <w:szCs w:val="24"/>
        </w:rPr>
        <w:t xml:space="preserve"> can be explained without introducing additional cosmic components.</w:t>
      </w:r>
    </w:p>
    <w:p w14:paraId="7CB00234"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4.5 Unified Explanation Framework for Fundamental Physical Problems</w:t>
      </w:r>
    </w:p>
    <w:p w14:paraId="07517AFB" w14:textId="77777777" w:rsidR="00E65496" w:rsidRPr="00E65496" w:rsidRDefault="00E65496" w:rsidP="00E65496">
      <w:pPr>
        <w:numPr>
          <w:ilvl w:val="0"/>
          <w:numId w:val="18"/>
        </w:numPr>
        <w:ind w:firstLineChars="200" w:firstLine="480"/>
        <w:rPr>
          <w:rFonts w:ascii="Arial" w:hAnsi="Arial" w:cs="Arial"/>
          <w:sz w:val="24"/>
          <w:szCs w:val="24"/>
        </w:rPr>
      </w:pPr>
      <w:r w:rsidRPr="00E65496">
        <w:rPr>
          <w:rFonts w:ascii="Arial" w:hAnsi="Arial" w:cs="Arial"/>
          <w:sz w:val="24"/>
          <w:szCs w:val="24"/>
        </w:rPr>
        <w:lastRenderedPageBreak/>
        <w:t>Quantum Nonlocality: The unified substrate possesses global connectivity characteristics. Quantum entanglement is an instantaneous response formed by the overall constraint of the substrate, with no superluminal interaction capable of transmitting effective information, consistent with the principle of constant speed of light. Microscopic quantum laws fully adopt existing mature theories, only supplementing the physical origin from the macroscopic connectivity of the substrate.</w:t>
      </w:r>
    </w:p>
    <w:p w14:paraId="5BE7ACD9" w14:textId="77777777" w:rsidR="00E65496" w:rsidRPr="00E65496" w:rsidRDefault="00E65496" w:rsidP="00E65496">
      <w:pPr>
        <w:numPr>
          <w:ilvl w:val="0"/>
          <w:numId w:val="18"/>
        </w:numPr>
        <w:ind w:firstLineChars="200" w:firstLine="480"/>
        <w:rPr>
          <w:rFonts w:ascii="Arial" w:hAnsi="Arial" w:cs="Arial"/>
          <w:sz w:val="24"/>
          <w:szCs w:val="24"/>
        </w:rPr>
      </w:pPr>
      <w:r w:rsidRPr="00E65496">
        <w:rPr>
          <w:rFonts w:ascii="Arial" w:hAnsi="Arial" w:cs="Arial"/>
          <w:sz w:val="24"/>
          <w:szCs w:val="24"/>
        </w:rPr>
        <w:t>Antimatter Gravitational Symmetry: Gravity only responds to the overall energy density of the substrate and is independent of the phase state of matter itself. Positive matter and antimatter can produce equivalent spacetime curvatures and attract each other. This conclusion is consistent with the experimental observations of antihydrogen gravitational experiments. Microscopic matter-antimatter interaction laws follow existing particle physics systems.</w:t>
      </w:r>
    </w:p>
    <w:p w14:paraId="61DEED7A" w14:textId="77777777" w:rsidR="00E65496" w:rsidRPr="00E65496" w:rsidRDefault="00E65496" w:rsidP="00E65496">
      <w:pPr>
        <w:numPr>
          <w:ilvl w:val="0"/>
          <w:numId w:val="18"/>
        </w:numPr>
        <w:ind w:firstLineChars="200" w:firstLine="480"/>
        <w:rPr>
          <w:rFonts w:ascii="Arial" w:hAnsi="Arial" w:cs="Arial"/>
          <w:sz w:val="24"/>
          <w:szCs w:val="24"/>
        </w:rPr>
      </w:pPr>
      <w:r w:rsidRPr="00E65496">
        <w:rPr>
          <w:rFonts w:ascii="Arial" w:hAnsi="Arial" w:cs="Arial"/>
          <w:sz w:val="24"/>
          <w:szCs w:val="24"/>
        </w:rPr>
        <w:t>Cosmic Expansion Mechanism: Cosmic expansion does not rely on dark energy entities but is jointly driven by the natural extension of the substrate, energy dissipation of contracted configurations, and cosmic boundary effects. It can simultaneously explain both uniform and local non-uniform spatial expansion phenomena, with the overall expansion trend consistent with the global entropy-increasing and irreversible unidirectional evolution law of the substrate.</w:t>
      </w:r>
    </w:p>
    <w:p w14:paraId="404949B2"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4.6 Underlying Logic of Cosmic Evolution</w:t>
      </w:r>
    </w:p>
    <w:p w14:paraId="569D0C7A"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 xml:space="preserve">The substrate </w:t>
      </w:r>
      <w:proofErr w:type="gramStart"/>
      <w:r w:rsidRPr="00E65496">
        <w:rPr>
          <w:rFonts w:ascii="Arial" w:hAnsi="Arial" w:cs="Arial"/>
          <w:sz w:val="24"/>
          <w:szCs w:val="24"/>
        </w:rPr>
        <w:t>as a whole always</w:t>
      </w:r>
      <w:proofErr w:type="gramEnd"/>
      <w:r w:rsidRPr="00E65496">
        <w:rPr>
          <w:rFonts w:ascii="Arial" w:hAnsi="Arial" w:cs="Arial"/>
          <w:sz w:val="24"/>
          <w:szCs w:val="24"/>
        </w:rPr>
        <w:t xml:space="preserve"> tends toward entropy-increasing extension, following the irreversible unidirectional evolution law from order to disorder, corresponding to the continuous cosmic expansion motion at the macroscopic level, constituting the core underlying trend of cosmic evolution that cannot be reversed. Local spatial perturbations produce deformations, which continuously accumulate and trigger multi-stage phase transitions successively, forming gravitational skeletons, conventional matter, and compact celestial bodies in sequence. The global entropy-increasing evolution of the universe is an intrinsic property of the substrate, unaffected by local matter motion or celestial evolution. Local space can form ordered structures through matter aggregation and produce local entropy reduction, which is a secondary derivative phenomenon and cannot change the overall irreversible evolutionary direction of the universe. Cosmic expansion evolution, galactic motion, light propagation laws, fundamental interactions, and quantum microscopic phenomena can all be regarded as external physical characteristics exhibited by the unified substrate under different degrees of deformation and different configurational states.</w:t>
      </w:r>
    </w:p>
    <w:p w14:paraId="3E415F23" w14:textId="77777777" w:rsidR="00E65496" w:rsidRDefault="00E65496" w:rsidP="00E65496">
      <w:pPr>
        <w:ind w:firstLineChars="200" w:firstLine="480"/>
        <w:rPr>
          <w:rFonts w:ascii="Arial" w:hAnsi="Arial" w:cs="Arial"/>
          <w:sz w:val="24"/>
          <w:szCs w:val="24"/>
        </w:rPr>
      </w:pPr>
    </w:p>
    <w:p w14:paraId="61F483DA" w14:textId="1D2C0ED2" w:rsidR="00E65496" w:rsidRPr="00E65496" w:rsidRDefault="00E65496" w:rsidP="00E65496">
      <w:pPr>
        <w:ind w:firstLineChars="200" w:firstLine="480"/>
        <w:rPr>
          <w:rFonts w:ascii="Arial" w:hAnsi="Arial" w:cs="Arial"/>
          <w:b/>
          <w:bCs/>
          <w:sz w:val="24"/>
          <w:szCs w:val="24"/>
        </w:rPr>
      </w:pPr>
      <w:r w:rsidRPr="00E65496">
        <w:rPr>
          <w:rFonts w:ascii="Arial" w:hAnsi="Arial" w:cs="Arial"/>
          <w:b/>
          <w:bCs/>
          <w:sz w:val="24"/>
          <w:szCs w:val="24"/>
        </w:rPr>
        <w:t xml:space="preserve">5. Correspondence Between the Four </w:t>
      </w:r>
      <w:proofErr w:type="gramStart"/>
      <w:r w:rsidRPr="00E65496">
        <w:rPr>
          <w:rFonts w:ascii="Arial" w:hAnsi="Arial" w:cs="Arial"/>
          <w:b/>
          <w:bCs/>
          <w:sz w:val="24"/>
          <w:szCs w:val="24"/>
        </w:rPr>
        <w:t>Steady-State</w:t>
      </w:r>
      <w:proofErr w:type="gramEnd"/>
      <w:r w:rsidRPr="00E65496">
        <w:rPr>
          <w:rFonts w:ascii="Arial" w:hAnsi="Arial" w:cs="Arial"/>
          <w:b/>
          <w:bCs/>
          <w:sz w:val="24"/>
          <w:szCs w:val="24"/>
        </w:rPr>
        <w:t xml:space="preserve"> Configurations of the Substrate and Cosmic Phenomena</w:t>
      </w:r>
    </w:p>
    <w:p w14:paraId="7C7332BC"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 xml:space="preserve">The following configurations are ordered from lowest to highest degree of substrate deformation, with the previous level being </w:t>
      </w:r>
      <w:proofErr w:type="gramStart"/>
      <w:r w:rsidRPr="00E65496">
        <w:rPr>
          <w:rFonts w:ascii="Arial" w:hAnsi="Arial" w:cs="Arial"/>
          <w:sz w:val="24"/>
          <w:szCs w:val="24"/>
        </w:rPr>
        <w:t>a necessary prerequisite</w:t>
      </w:r>
      <w:proofErr w:type="gramEnd"/>
      <w:r w:rsidRPr="00E65496">
        <w:rPr>
          <w:rFonts w:ascii="Arial" w:hAnsi="Arial" w:cs="Arial"/>
          <w:sz w:val="24"/>
          <w:szCs w:val="24"/>
        </w:rPr>
        <w:t xml:space="preserve"> </w:t>
      </w:r>
      <w:r w:rsidRPr="00E65496">
        <w:rPr>
          <w:rFonts w:ascii="Arial" w:hAnsi="Arial" w:cs="Arial"/>
          <w:sz w:val="24"/>
          <w:szCs w:val="24"/>
        </w:rPr>
        <w:lastRenderedPageBreak/>
        <w:t>for the next level. Key hierarchical note: The extended, contracted, dense, and extreme configurations below are all intrinsic configurational states of the substrate itself, belonging to a different physical hierarchy from the solid, liquid, and gaseous states of conventional matter. The three-state aggregation characteristics of daily matter are secondary phenomena derived from the dense configuration of the substrate and have no relation to the fundamental form of the substrate.</w:t>
      </w:r>
    </w:p>
    <w:p w14:paraId="6A6E4FC1" w14:textId="77777777" w:rsidR="00E65496" w:rsidRPr="00E65496" w:rsidRDefault="00E65496" w:rsidP="00E65496">
      <w:pPr>
        <w:numPr>
          <w:ilvl w:val="0"/>
          <w:numId w:val="19"/>
        </w:numPr>
        <w:ind w:firstLineChars="200" w:firstLine="480"/>
        <w:rPr>
          <w:rFonts w:ascii="Arial" w:hAnsi="Arial" w:cs="Arial"/>
          <w:sz w:val="24"/>
          <w:szCs w:val="24"/>
        </w:rPr>
      </w:pPr>
      <w:r w:rsidRPr="00E65496">
        <w:rPr>
          <w:rFonts w:ascii="Arial" w:hAnsi="Arial" w:cs="Arial"/>
          <w:sz w:val="24"/>
          <w:szCs w:val="24"/>
        </w:rPr>
        <w:t>Extended Configuration: The substrate has a weak degree of deformation and has not reached the phase transition critical condition, presenting a macroscopically flat spacetime form with uniform overall spatial extension, corresponding to empty cosmic regions. The expansion effect of dark energy is manifested here;</w:t>
      </w:r>
    </w:p>
    <w:p w14:paraId="24F689E3" w14:textId="77777777" w:rsidR="00E65496" w:rsidRPr="00E65496" w:rsidRDefault="00E65496" w:rsidP="00E65496">
      <w:pPr>
        <w:numPr>
          <w:ilvl w:val="0"/>
          <w:numId w:val="19"/>
        </w:numPr>
        <w:ind w:firstLineChars="200" w:firstLine="480"/>
        <w:rPr>
          <w:rFonts w:ascii="Arial" w:hAnsi="Arial" w:cs="Arial"/>
          <w:sz w:val="24"/>
          <w:szCs w:val="24"/>
        </w:rPr>
      </w:pPr>
      <w:r w:rsidRPr="00E65496">
        <w:rPr>
          <w:rFonts w:ascii="Arial" w:hAnsi="Arial" w:cs="Arial"/>
          <w:sz w:val="24"/>
          <w:szCs w:val="24"/>
        </w:rPr>
        <w:t>Contracted Configuration: Deformation accumulates to the characteristic threshold, triggering a first-order phase transition to form dark matter halos, which construct the large-scale gravitational skeleton of the universe and are the essential form of dark matter;</w:t>
      </w:r>
    </w:p>
    <w:p w14:paraId="21149D16" w14:textId="77777777" w:rsidR="00E65496" w:rsidRPr="00E65496" w:rsidRDefault="00E65496" w:rsidP="00E65496">
      <w:pPr>
        <w:numPr>
          <w:ilvl w:val="0"/>
          <w:numId w:val="19"/>
        </w:numPr>
        <w:ind w:firstLineChars="200" w:firstLine="480"/>
        <w:rPr>
          <w:rFonts w:ascii="Arial" w:hAnsi="Arial" w:cs="Arial"/>
          <w:sz w:val="24"/>
          <w:szCs w:val="24"/>
        </w:rPr>
      </w:pPr>
      <w:r w:rsidRPr="00E65496">
        <w:rPr>
          <w:rFonts w:ascii="Arial" w:hAnsi="Arial" w:cs="Arial"/>
          <w:sz w:val="24"/>
          <w:szCs w:val="24"/>
        </w:rPr>
        <w:t xml:space="preserve">Dense Configuration: The contracted structure undergoes continuous deep deformation, triggering a second-order phase transition to evolve into microscopic particles, stars, and other conventional </w:t>
      </w:r>
      <w:proofErr w:type="gramStart"/>
      <w:r w:rsidRPr="00E65496">
        <w:rPr>
          <w:rFonts w:ascii="Arial" w:hAnsi="Arial" w:cs="Arial"/>
          <w:sz w:val="24"/>
          <w:szCs w:val="24"/>
        </w:rPr>
        <w:t>matter</w:t>
      </w:r>
      <w:proofErr w:type="gramEnd"/>
      <w:r w:rsidRPr="00E65496">
        <w:rPr>
          <w:rFonts w:ascii="Arial" w:hAnsi="Arial" w:cs="Arial"/>
          <w:sz w:val="24"/>
          <w:szCs w:val="24"/>
        </w:rPr>
        <w:t>. This region has strong constraint effects, making it difficult to further undergo contracted phase transitions, and gravitational effects follow the laws of general relativity and Newtonian mechanics. All physical properties and interactions of microscopic particles fully adopt existing particle physics theoretical systems;</w:t>
      </w:r>
    </w:p>
    <w:p w14:paraId="2EDB23BE" w14:textId="77777777" w:rsidR="00E65496" w:rsidRPr="00E65496" w:rsidRDefault="00E65496" w:rsidP="00E65496">
      <w:pPr>
        <w:numPr>
          <w:ilvl w:val="0"/>
          <w:numId w:val="19"/>
        </w:numPr>
        <w:ind w:firstLineChars="200" w:firstLine="480"/>
        <w:rPr>
          <w:rFonts w:ascii="Arial" w:hAnsi="Arial" w:cs="Arial"/>
          <w:sz w:val="24"/>
          <w:szCs w:val="24"/>
        </w:rPr>
      </w:pPr>
      <w:r w:rsidRPr="00E65496">
        <w:rPr>
          <w:rFonts w:ascii="Arial" w:hAnsi="Arial" w:cs="Arial"/>
          <w:sz w:val="24"/>
          <w:szCs w:val="24"/>
        </w:rPr>
        <w:t>Extreme Configuration: The substrate deformation reaches the ultimate contracted state, triggering the ultimate phase transition, corresponding to cosmic black holes.</w:t>
      </w:r>
    </w:p>
    <w:p w14:paraId="25AD08E8" w14:textId="77777777" w:rsidR="00E65496" w:rsidRDefault="00E65496" w:rsidP="00E65496">
      <w:pPr>
        <w:ind w:firstLineChars="200" w:firstLine="480"/>
        <w:rPr>
          <w:rFonts w:ascii="Arial" w:hAnsi="Arial" w:cs="Arial"/>
          <w:sz w:val="24"/>
          <w:szCs w:val="24"/>
        </w:rPr>
      </w:pPr>
    </w:p>
    <w:p w14:paraId="27F70631" w14:textId="6CEB9B2D" w:rsidR="00E65496" w:rsidRPr="00E65496" w:rsidRDefault="00E65496" w:rsidP="00E65496">
      <w:pPr>
        <w:ind w:firstLineChars="200" w:firstLine="480"/>
        <w:rPr>
          <w:rFonts w:ascii="Arial" w:hAnsi="Arial" w:cs="Arial"/>
          <w:b/>
          <w:bCs/>
          <w:sz w:val="24"/>
          <w:szCs w:val="24"/>
        </w:rPr>
      </w:pPr>
      <w:r w:rsidRPr="00E65496">
        <w:rPr>
          <w:rFonts w:ascii="Arial" w:hAnsi="Arial" w:cs="Arial"/>
          <w:b/>
          <w:bCs/>
          <w:sz w:val="24"/>
          <w:szCs w:val="24"/>
        </w:rPr>
        <w:t>6. Theoretical Boundary Definition</w:t>
      </w:r>
    </w:p>
    <w:p w14:paraId="4AB55B4B"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6.1 Points of Agreement with Existing Observations</w:t>
      </w:r>
    </w:p>
    <w:p w14:paraId="2A7C2FC1" w14:textId="77777777" w:rsidR="00E65496" w:rsidRPr="00E65496" w:rsidRDefault="00E65496" w:rsidP="00E65496">
      <w:pPr>
        <w:numPr>
          <w:ilvl w:val="0"/>
          <w:numId w:val="20"/>
        </w:numPr>
        <w:ind w:firstLineChars="200" w:firstLine="480"/>
        <w:rPr>
          <w:rFonts w:ascii="Arial" w:hAnsi="Arial" w:cs="Arial"/>
          <w:sz w:val="24"/>
          <w:szCs w:val="24"/>
        </w:rPr>
      </w:pPr>
      <w:r w:rsidRPr="00E65496">
        <w:rPr>
          <w:rFonts w:ascii="Arial" w:hAnsi="Arial" w:cs="Arial"/>
          <w:sz w:val="24"/>
          <w:szCs w:val="24"/>
        </w:rPr>
        <w:t>The mathematical logic of the theoretical framework is self-consistent with general relativity and strictly satisfies Lorentz covariance requirements;</w:t>
      </w:r>
    </w:p>
    <w:p w14:paraId="7940BAFA" w14:textId="77777777" w:rsidR="00E65496" w:rsidRPr="00E65496" w:rsidRDefault="00E65496" w:rsidP="00E65496">
      <w:pPr>
        <w:numPr>
          <w:ilvl w:val="0"/>
          <w:numId w:val="20"/>
        </w:numPr>
        <w:ind w:firstLineChars="200" w:firstLine="480"/>
        <w:rPr>
          <w:rFonts w:ascii="Arial" w:hAnsi="Arial" w:cs="Arial"/>
          <w:sz w:val="24"/>
          <w:szCs w:val="24"/>
        </w:rPr>
      </w:pPr>
      <w:r w:rsidRPr="00E65496">
        <w:rPr>
          <w:rFonts w:ascii="Arial" w:hAnsi="Arial" w:cs="Arial"/>
          <w:sz w:val="24"/>
          <w:szCs w:val="24"/>
        </w:rPr>
        <w:t>It can fully reproduce the observational conclusions of MOND theory on galactic scales and derive the baryonic Tully-Fisher relation;</w:t>
      </w:r>
    </w:p>
    <w:p w14:paraId="43520E0B" w14:textId="77777777" w:rsidR="00E65496" w:rsidRPr="00E65496" w:rsidRDefault="00E65496" w:rsidP="00E65496">
      <w:pPr>
        <w:numPr>
          <w:ilvl w:val="0"/>
          <w:numId w:val="20"/>
        </w:numPr>
        <w:ind w:firstLineChars="200" w:firstLine="480"/>
        <w:rPr>
          <w:rFonts w:ascii="Arial" w:hAnsi="Arial" w:cs="Arial"/>
          <w:sz w:val="24"/>
          <w:szCs w:val="24"/>
        </w:rPr>
      </w:pPr>
      <w:r w:rsidRPr="00E65496">
        <w:rPr>
          <w:rFonts w:ascii="Arial" w:hAnsi="Arial" w:cs="Arial"/>
          <w:sz w:val="24"/>
          <w:szCs w:val="24"/>
        </w:rPr>
        <w:t>All parameters are compatible with Planck 2018 cosmological observational data;</w:t>
      </w:r>
    </w:p>
    <w:p w14:paraId="3DF19456" w14:textId="77777777" w:rsidR="00E65496" w:rsidRPr="00E65496" w:rsidRDefault="00E65496" w:rsidP="00E65496">
      <w:pPr>
        <w:numPr>
          <w:ilvl w:val="0"/>
          <w:numId w:val="20"/>
        </w:numPr>
        <w:ind w:firstLineChars="200" w:firstLine="480"/>
        <w:rPr>
          <w:rFonts w:ascii="Arial" w:hAnsi="Arial" w:cs="Arial"/>
          <w:sz w:val="24"/>
          <w:szCs w:val="24"/>
        </w:rPr>
      </w:pPr>
      <w:r w:rsidRPr="00E65496">
        <w:rPr>
          <w:rFonts w:ascii="Arial" w:hAnsi="Arial" w:cs="Arial"/>
          <w:sz w:val="24"/>
          <w:szCs w:val="24"/>
        </w:rPr>
        <w:t>The prediction made regarding the gravitational properties of antimatter is consistent with existing experimental observations;</w:t>
      </w:r>
    </w:p>
    <w:p w14:paraId="77D486FF" w14:textId="77777777" w:rsidR="00E65496" w:rsidRPr="00E65496" w:rsidRDefault="00E65496" w:rsidP="00E65496">
      <w:pPr>
        <w:numPr>
          <w:ilvl w:val="0"/>
          <w:numId w:val="20"/>
        </w:numPr>
        <w:ind w:firstLineChars="200" w:firstLine="480"/>
        <w:rPr>
          <w:rFonts w:ascii="Arial" w:hAnsi="Arial" w:cs="Arial"/>
          <w:sz w:val="24"/>
          <w:szCs w:val="24"/>
        </w:rPr>
      </w:pPr>
      <w:r w:rsidRPr="00E65496">
        <w:rPr>
          <w:rFonts w:ascii="Arial" w:hAnsi="Arial" w:cs="Arial"/>
          <w:sz w:val="24"/>
          <w:szCs w:val="24"/>
        </w:rPr>
        <w:t>Highly compatible with existing microscopic physics experimental conclusions, not overturning any verified particle physics or quantum mechanics laws, only reconstructing the underlying mechanisms of macroscopic spacetime gravity and cosmic evolution.</w:t>
      </w:r>
    </w:p>
    <w:p w14:paraId="2F4BEA16"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 xml:space="preserve">6.2 Extended Conjectures (Pending Subsequent High-Precision </w:t>
      </w:r>
      <w:r w:rsidRPr="00E65496">
        <w:rPr>
          <w:rFonts w:ascii="Arial" w:hAnsi="Arial" w:cs="Arial"/>
          <w:sz w:val="24"/>
          <w:szCs w:val="24"/>
        </w:rPr>
        <w:lastRenderedPageBreak/>
        <w:t>Observational Verification)</w:t>
      </w:r>
    </w:p>
    <w:p w14:paraId="0E6014CE" w14:textId="77777777" w:rsidR="00E65496" w:rsidRPr="00E65496" w:rsidRDefault="00E65496" w:rsidP="00E65496">
      <w:pPr>
        <w:numPr>
          <w:ilvl w:val="0"/>
          <w:numId w:val="21"/>
        </w:numPr>
        <w:ind w:firstLineChars="200" w:firstLine="480"/>
        <w:rPr>
          <w:rFonts w:ascii="Arial" w:hAnsi="Arial" w:cs="Arial"/>
          <w:sz w:val="24"/>
          <w:szCs w:val="24"/>
        </w:rPr>
      </w:pPr>
      <w:r w:rsidRPr="00E65496">
        <w:rPr>
          <w:rFonts w:ascii="Arial" w:hAnsi="Arial" w:cs="Arial"/>
          <w:sz w:val="24"/>
          <w:szCs w:val="24"/>
        </w:rPr>
        <w:t>The four fundamental interactions and various quantum microscopic effects are essentially differentiated configurational deformations of the substrate at microscopic scales;</w:t>
      </w:r>
    </w:p>
    <w:p w14:paraId="170AC8E7" w14:textId="77777777" w:rsidR="00E65496" w:rsidRPr="00E65496" w:rsidRDefault="00E65496" w:rsidP="00E65496">
      <w:pPr>
        <w:numPr>
          <w:ilvl w:val="0"/>
          <w:numId w:val="21"/>
        </w:numPr>
        <w:ind w:firstLineChars="200" w:firstLine="480"/>
        <w:rPr>
          <w:rFonts w:ascii="Arial" w:hAnsi="Arial" w:cs="Arial"/>
          <w:sz w:val="24"/>
          <w:szCs w:val="24"/>
        </w:rPr>
      </w:pPr>
      <w:r w:rsidRPr="00E65496">
        <w:rPr>
          <w:rFonts w:ascii="Arial" w:hAnsi="Arial" w:cs="Arial"/>
          <w:sz w:val="24"/>
          <w:szCs w:val="24"/>
        </w:rPr>
        <w:t>The fundamental morphological characteristics of the substrate can be indirectly inferred through precise gravitational wave observations and dark matter halo structure mapping.</w:t>
      </w:r>
    </w:p>
    <w:p w14:paraId="55DD843B" w14:textId="77777777" w:rsidR="00E65496" w:rsidRPr="00E65496" w:rsidRDefault="00E65496" w:rsidP="00E65496">
      <w:pPr>
        <w:ind w:firstLineChars="200" w:firstLine="480"/>
        <w:rPr>
          <w:rFonts w:ascii="Arial" w:hAnsi="Arial" w:cs="Arial"/>
          <w:b/>
          <w:bCs/>
          <w:sz w:val="24"/>
          <w:szCs w:val="24"/>
        </w:rPr>
      </w:pPr>
    </w:p>
    <w:p w14:paraId="13CA03E3" w14:textId="7A3B73FC" w:rsidR="00E65496" w:rsidRPr="00E65496" w:rsidRDefault="00E65496" w:rsidP="00E65496">
      <w:pPr>
        <w:ind w:firstLineChars="200" w:firstLine="480"/>
        <w:rPr>
          <w:rFonts w:ascii="Arial" w:hAnsi="Arial" w:cs="Arial"/>
          <w:b/>
          <w:bCs/>
          <w:sz w:val="24"/>
          <w:szCs w:val="24"/>
        </w:rPr>
      </w:pPr>
      <w:r w:rsidRPr="00E65496">
        <w:rPr>
          <w:rFonts w:ascii="Arial" w:hAnsi="Arial" w:cs="Arial"/>
          <w:b/>
          <w:bCs/>
          <w:sz w:val="24"/>
          <w:szCs w:val="24"/>
        </w:rPr>
        <w:t>7. Falsifiable Predictions and Verification Approaches</w:t>
      </w:r>
    </w:p>
    <w:p w14:paraId="4803D742"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This theory proposes the following falsifiable predictions, which can be tested through existing and future astronomical observations and physical experiments:</w:t>
      </w:r>
    </w:p>
    <w:p w14:paraId="5665D6DE" w14:textId="77777777" w:rsidR="00E65496" w:rsidRPr="00E65496" w:rsidRDefault="00E65496" w:rsidP="00E65496">
      <w:pPr>
        <w:numPr>
          <w:ilvl w:val="0"/>
          <w:numId w:val="22"/>
        </w:numPr>
        <w:ind w:firstLineChars="200" w:firstLine="480"/>
        <w:rPr>
          <w:rFonts w:ascii="Arial" w:hAnsi="Arial" w:cs="Arial"/>
          <w:sz w:val="24"/>
          <w:szCs w:val="24"/>
        </w:rPr>
      </w:pPr>
      <w:r w:rsidRPr="00E65496">
        <w:rPr>
          <w:rFonts w:ascii="Arial" w:hAnsi="Arial" w:cs="Arial"/>
          <w:sz w:val="24"/>
          <w:szCs w:val="24"/>
        </w:rPr>
        <w:t>Expected Results of Dark Matter Particle Detection: Experiments based on mainstream dark matter particle detection principles such as WIMPs and axions, including underground dark matter capture and collider-generated dark matter particle experiments, are unlikely to obtain clear positive detection results in the foreseeable future. If dark matter fundamental particles are detected, the core assumptions of this theory will be falsified.</w:t>
      </w:r>
    </w:p>
    <w:p w14:paraId="1BF0DEF6" w14:textId="77777777" w:rsidR="00E65496" w:rsidRPr="00E65496" w:rsidRDefault="00E65496" w:rsidP="00E65496">
      <w:pPr>
        <w:numPr>
          <w:ilvl w:val="0"/>
          <w:numId w:val="22"/>
        </w:numPr>
        <w:ind w:firstLineChars="200" w:firstLine="480"/>
        <w:rPr>
          <w:rFonts w:ascii="Arial" w:hAnsi="Arial" w:cs="Arial"/>
          <w:sz w:val="24"/>
          <w:szCs w:val="24"/>
        </w:rPr>
      </w:pPr>
      <w:r w:rsidRPr="00E65496">
        <w:rPr>
          <w:rFonts w:ascii="Arial" w:hAnsi="Arial" w:cs="Arial"/>
          <w:sz w:val="24"/>
          <w:szCs w:val="24"/>
        </w:rPr>
        <w:t xml:space="preserve">Galactic Gravitational Critical Threshold Characteristics: The gravitational acceleration of </w:t>
      </w:r>
      <w:proofErr w:type="gramStart"/>
      <w:r w:rsidRPr="00E65496">
        <w:rPr>
          <w:rFonts w:ascii="Arial" w:hAnsi="Arial" w:cs="Arial"/>
          <w:sz w:val="24"/>
          <w:szCs w:val="24"/>
        </w:rPr>
        <w:t>the vast majority of</w:t>
      </w:r>
      <w:proofErr w:type="gramEnd"/>
      <w:r w:rsidRPr="00E65496">
        <w:rPr>
          <w:rFonts w:ascii="Arial" w:hAnsi="Arial" w:cs="Arial"/>
          <w:sz w:val="24"/>
          <w:szCs w:val="24"/>
        </w:rPr>
        <w:t xml:space="preserve"> galaxies takes a</w:t>
      </w:r>
      <w:r w:rsidRPr="00E65496">
        <w:rPr>
          <w:rFonts w:ascii="Cambria Math" w:hAnsi="Cambria Math" w:cs="Cambria Math"/>
          <w:sz w:val="24"/>
          <w:szCs w:val="24"/>
        </w:rPr>
        <w:t>₀</w:t>
      </w:r>
      <w:r w:rsidRPr="00E65496">
        <w:rPr>
          <w:rFonts w:ascii="Arial" w:hAnsi="Arial" w:cs="Arial"/>
          <w:sz w:val="24"/>
          <w:szCs w:val="24"/>
        </w:rPr>
        <w:t xml:space="preserve"> ≈ 1.2×10</w:t>
      </w:r>
      <w:r w:rsidRPr="00E65496">
        <w:rPr>
          <w:rFonts w:ascii="Cambria Math" w:hAnsi="Cambria Math" w:cs="Cambria Math"/>
          <w:sz w:val="24"/>
          <w:szCs w:val="24"/>
        </w:rPr>
        <w:t>⁻</w:t>
      </w:r>
      <w:r w:rsidRPr="00E65496">
        <w:rPr>
          <w:rFonts w:ascii="Arial" w:hAnsi="Arial" w:cs="Arial"/>
          <w:sz w:val="24"/>
          <w:szCs w:val="24"/>
        </w:rPr>
        <w:t>¹⁰ m/s² as the characteristic boundary, below which it deviates from classical Newtonian gravitational laws. The critical threshold within galaxy clusters may be significantly higher than on galactic scales and positively correlated with the temperature of hot gas in galaxy clusters.</w:t>
      </w:r>
    </w:p>
    <w:p w14:paraId="02A654D1" w14:textId="77777777" w:rsidR="00E65496" w:rsidRPr="00E65496" w:rsidRDefault="00E65496" w:rsidP="00E65496">
      <w:pPr>
        <w:numPr>
          <w:ilvl w:val="0"/>
          <w:numId w:val="22"/>
        </w:numPr>
        <w:ind w:firstLineChars="200" w:firstLine="480"/>
        <w:rPr>
          <w:rFonts w:ascii="Arial" w:hAnsi="Arial" w:cs="Arial"/>
          <w:sz w:val="24"/>
          <w:szCs w:val="24"/>
        </w:rPr>
      </w:pPr>
      <w:r w:rsidRPr="00E65496">
        <w:rPr>
          <w:rFonts w:ascii="Arial" w:hAnsi="Arial" w:cs="Arial"/>
          <w:sz w:val="24"/>
          <w:szCs w:val="24"/>
        </w:rPr>
        <w:t>Existence of Isolated Pure Dark Matter Objects: There are most likely no isolated dark matter objects detached from conventional matter in the universe, nor are there ordinary celestial bodies completely without dark matter halos.</w:t>
      </w:r>
    </w:p>
    <w:p w14:paraId="42109A69" w14:textId="77777777" w:rsidR="00E65496" w:rsidRPr="00E65496" w:rsidRDefault="00E65496" w:rsidP="00E65496">
      <w:pPr>
        <w:numPr>
          <w:ilvl w:val="0"/>
          <w:numId w:val="22"/>
        </w:numPr>
        <w:ind w:firstLineChars="200" w:firstLine="480"/>
        <w:rPr>
          <w:rFonts w:ascii="Arial" w:hAnsi="Arial" w:cs="Arial"/>
          <w:sz w:val="24"/>
          <w:szCs w:val="24"/>
        </w:rPr>
      </w:pPr>
      <w:r w:rsidRPr="00E65496">
        <w:rPr>
          <w:rFonts w:ascii="Arial" w:hAnsi="Arial" w:cs="Arial"/>
          <w:sz w:val="24"/>
          <w:szCs w:val="24"/>
        </w:rPr>
        <w:t>Gravitational Structure Formation Timing: The formation time of dark matter halos in the early universe may be significantly earlier than that of baryonic matter such as stars and planets; supermassive black holes exceeding the expectations of mainstream theories may have appeared in the early universe.</w:t>
      </w:r>
    </w:p>
    <w:p w14:paraId="120088BD" w14:textId="77777777" w:rsidR="00E65496" w:rsidRPr="00E65496" w:rsidRDefault="00E65496" w:rsidP="00E65496">
      <w:pPr>
        <w:numPr>
          <w:ilvl w:val="0"/>
          <w:numId w:val="22"/>
        </w:numPr>
        <w:ind w:firstLineChars="200" w:firstLine="480"/>
        <w:rPr>
          <w:rFonts w:ascii="Arial" w:hAnsi="Arial" w:cs="Arial"/>
          <w:sz w:val="24"/>
          <w:szCs w:val="24"/>
        </w:rPr>
      </w:pPr>
      <w:r w:rsidRPr="00E65496">
        <w:rPr>
          <w:rFonts w:ascii="Arial" w:hAnsi="Arial" w:cs="Arial"/>
          <w:sz w:val="24"/>
          <w:szCs w:val="24"/>
        </w:rPr>
        <w:t>Existence of Absolutely Flat Spacetime: Any region of the universe has a weak substrate deformation gradient, only appearing as approximately flat spacetime when deformation has not reached the critical threshold.</w:t>
      </w:r>
    </w:p>
    <w:p w14:paraId="398A75EE" w14:textId="77777777" w:rsidR="00E65496" w:rsidRPr="00E65496" w:rsidRDefault="00E65496" w:rsidP="00E65496">
      <w:pPr>
        <w:numPr>
          <w:ilvl w:val="0"/>
          <w:numId w:val="22"/>
        </w:numPr>
        <w:ind w:firstLineChars="200" w:firstLine="480"/>
        <w:rPr>
          <w:rFonts w:ascii="Arial" w:hAnsi="Arial" w:cs="Arial"/>
          <w:sz w:val="24"/>
          <w:szCs w:val="24"/>
        </w:rPr>
      </w:pPr>
      <w:r w:rsidRPr="00E65496">
        <w:rPr>
          <w:rFonts w:ascii="Arial" w:hAnsi="Arial" w:cs="Arial"/>
          <w:sz w:val="24"/>
          <w:szCs w:val="24"/>
        </w:rPr>
        <w:t xml:space="preserve">Gravitational Wave Propagation Time Difference Characteristics: Since electromagnetic waves interact with charged particles and produce scattering and delay in the interstellar medium, while gravitational waves only couple with substrate configurations and are unaffected by charged particles during propagation, gravitational waves from the same cosmic event may statistically arrive at observers </w:t>
      </w:r>
      <w:r w:rsidRPr="00E65496">
        <w:rPr>
          <w:rFonts w:ascii="Arial" w:hAnsi="Arial" w:cs="Arial"/>
          <w:sz w:val="24"/>
          <w:szCs w:val="24"/>
        </w:rPr>
        <w:lastRenderedPageBreak/>
        <w:t>slightly earlier than electromagnetic waves.</w:t>
      </w:r>
    </w:p>
    <w:p w14:paraId="0FDAF8F1" w14:textId="77777777" w:rsidR="00E65496" w:rsidRPr="00E65496" w:rsidRDefault="00E65496" w:rsidP="00E65496">
      <w:pPr>
        <w:numPr>
          <w:ilvl w:val="0"/>
          <w:numId w:val="22"/>
        </w:numPr>
        <w:ind w:firstLineChars="200" w:firstLine="480"/>
        <w:rPr>
          <w:rFonts w:ascii="Arial" w:hAnsi="Arial" w:cs="Arial"/>
          <w:sz w:val="24"/>
          <w:szCs w:val="24"/>
        </w:rPr>
      </w:pPr>
      <w:r w:rsidRPr="00E65496">
        <w:rPr>
          <w:rFonts w:ascii="Arial" w:hAnsi="Arial" w:cs="Arial"/>
          <w:sz w:val="24"/>
          <w:szCs w:val="24"/>
        </w:rPr>
        <w:t>Gravitational Wave Dispersion Characteristics: Gravitational waves of different frequencies may have slight velocity differences when passing through the dark matter phase, with high-frequency components propagating slightly slower than low-frequency components.</w:t>
      </w:r>
    </w:p>
    <w:p w14:paraId="5E8CE1FB" w14:textId="77777777" w:rsidR="00E65496" w:rsidRPr="00E65496" w:rsidRDefault="00E65496" w:rsidP="00E65496">
      <w:pPr>
        <w:numPr>
          <w:ilvl w:val="0"/>
          <w:numId w:val="22"/>
        </w:numPr>
        <w:ind w:firstLineChars="200" w:firstLine="480"/>
        <w:rPr>
          <w:rFonts w:ascii="Arial" w:hAnsi="Arial" w:cs="Arial"/>
          <w:sz w:val="24"/>
          <w:szCs w:val="24"/>
        </w:rPr>
      </w:pPr>
      <w:r w:rsidRPr="00E65496">
        <w:rPr>
          <w:rFonts w:ascii="Arial" w:hAnsi="Arial" w:cs="Arial"/>
          <w:sz w:val="24"/>
          <w:szCs w:val="24"/>
        </w:rPr>
        <w:t>Black Hole Central Structure: There is no mathematical singularity of infinite density at the center of black holes, only a finite-density configuration of the substrate in its ultimate contracted state. The gravitational wave ringdown waveforms of black hole mergers may have observable deviations from the calculation results of singularity models.</w:t>
      </w:r>
    </w:p>
    <w:p w14:paraId="5DC64F5F" w14:textId="77777777" w:rsidR="00E65496" w:rsidRPr="00E65496" w:rsidRDefault="00E65496" w:rsidP="00E65496">
      <w:pPr>
        <w:numPr>
          <w:ilvl w:val="0"/>
          <w:numId w:val="22"/>
        </w:numPr>
        <w:ind w:firstLineChars="200" w:firstLine="480"/>
        <w:rPr>
          <w:rFonts w:ascii="Arial" w:hAnsi="Arial" w:cs="Arial"/>
          <w:sz w:val="24"/>
          <w:szCs w:val="24"/>
        </w:rPr>
      </w:pPr>
      <w:r w:rsidRPr="00E65496">
        <w:rPr>
          <w:rFonts w:ascii="Arial" w:hAnsi="Arial" w:cs="Arial"/>
          <w:sz w:val="24"/>
          <w:szCs w:val="24"/>
        </w:rPr>
        <w:t>Galaxy Cluster Collision Characteristics: The misalignment between gravitational lensing regions and visible matter shock regions in collision systems such as the Bullet Cluster may originate from the reorganization of unified substrate phases rather than particle interactions.</w:t>
      </w:r>
    </w:p>
    <w:p w14:paraId="1BDFCCA6" w14:textId="77777777" w:rsidR="00E65496" w:rsidRPr="00E65496" w:rsidRDefault="00E65496" w:rsidP="00E65496">
      <w:pPr>
        <w:numPr>
          <w:ilvl w:val="0"/>
          <w:numId w:val="22"/>
        </w:numPr>
        <w:ind w:firstLineChars="200" w:firstLine="480"/>
        <w:rPr>
          <w:rFonts w:ascii="Arial" w:hAnsi="Arial" w:cs="Arial"/>
          <w:sz w:val="24"/>
          <w:szCs w:val="24"/>
        </w:rPr>
      </w:pPr>
      <w:r w:rsidRPr="00E65496">
        <w:rPr>
          <w:rFonts w:ascii="Arial" w:hAnsi="Arial" w:cs="Arial"/>
          <w:sz w:val="24"/>
          <w:szCs w:val="24"/>
        </w:rPr>
        <w:t>CMB Power Spectrum Characteristics: Early spacetime phase transitions may leave unique suppression features in the large-scale regions of the CMB angular power spectrum.</w:t>
      </w:r>
    </w:p>
    <w:p w14:paraId="1B884124" w14:textId="77777777" w:rsidR="00E65496" w:rsidRDefault="00E65496" w:rsidP="00E65496">
      <w:pPr>
        <w:ind w:firstLineChars="200" w:firstLine="480"/>
        <w:rPr>
          <w:rFonts w:ascii="Arial" w:hAnsi="Arial" w:cs="Arial"/>
          <w:sz w:val="24"/>
          <w:szCs w:val="24"/>
        </w:rPr>
      </w:pPr>
    </w:p>
    <w:p w14:paraId="73BACDAD" w14:textId="2E26A4AD" w:rsidR="00E65496" w:rsidRPr="00E65496" w:rsidRDefault="00E65496" w:rsidP="00E65496">
      <w:pPr>
        <w:ind w:firstLineChars="200" w:firstLine="480"/>
        <w:rPr>
          <w:rFonts w:ascii="Arial" w:hAnsi="Arial" w:cs="Arial"/>
          <w:b/>
          <w:bCs/>
          <w:sz w:val="24"/>
          <w:szCs w:val="24"/>
        </w:rPr>
      </w:pPr>
      <w:r w:rsidRPr="00E65496">
        <w:rPr>
          <w:rFonts w:ascii="Arial" w:hAnsi="Arial" w:cs="Arial"/>
          <w:b/>
          <w:bCs/>
          <w:sz w:val="24"/>
          <w:szCs w:val="24"/>
        </w:rPr>
        <w:t>8. Core Theoretical Advantages</w:t>
      </w:r>
    </w:p>
    <w:p w14:paraId="607149BA" w14:textId="77777777" w:rsidR="00E65496" w:rsidRPr="00E65496" w:rsidRDefault="00E65496" w:rsidP="00E65496">
      <w:pPr>
        <w:numPr>
          <w:ilvl w:val="0"/>
          <w:numId w:val="23"/>
        </w:numPr>
        <w:ind w:firstLineChars="200" w:firstLine="480"/>
        <w:rPr>
          <w:rFonts w:ascii="Arial" w:hAnsi="Arial" w:cs="Arial"/>
          <w:sz w:val="24"/>
          <w:szCs w:val="24"/>
        </w:rPr>
      </w:pPr>
      <w:r w:rsidRPr="00E65496">
        <w:rPr>
          <w:rFonts w:ascii="Arial" w:hAnsi="Arial" w:cs="Arial"/>
          <w:sz w:val="24"/>
          <w:szCs w:val="24"/>
        </w:rPr>
        <w:t>Compliance with Occam's Razor Principle: Deductions are carried out only based on the complete set of basic rules of a single fundamental substrate, elastic deformation, and critical phase transitions, without introducing unproven hypotheses such as dark matter particles and dark energy entities, nor adding additional parameters to patch observational contradictions;</w:t>
      </w:r>
    </w:p>
    <w:p w14:paraId="7526435A" w14:textId="77777777" w:rsidR="00E65496" w:rsidRPr="00E65496" w:rsidRDefault="00E65496" w:rsidP="00E65496">
      <w:pPr>
        <w:numPr>
          <w:ilvl w:val="0"/>
          <w:numId w:val="23"/>
        </w:numPr>
        <w:ind w:firstLineChars="200" w:firstLine="480"/>
        <w:rPr>
          <w:rFonts w:ascii="Arial" w:hAnsi="Arial" w:cs="Arial"/>
          <w:sz w:val="24"/>
          <w:szCs w:val="24"/>
        </w:rPr>
      </w:pPr>
      <w:r w:rsidRPr="00E65496">
        <w:rPr>
          <w:rFonts w:ascii="Arial" w:hAnsi="Arial" w:cs="Arial"/>
          <w:sz w:val="24"/>
          <w:szCs w:val="24"/>
        </w:rPr>
        <w:t>Strong Theoretical Openness and Universality: It does not subjectively limit the initial state of the substrate, avoiding arbitrary judgments, and the core evolutionary logic is not affected by the substrate form;</w:t>
      </w:r>
    </w:p>
    <w:p w14:paraId="57F2CB48" w14:textId="77777777" w:rsidR="00E65496" w:rsidRPr="00E65496" w:rsidRDefault="00E65496" w:rsidP="00E65496">
      <w:pPr>
        <w:numPr>
          <w:ilvl w:val="0"/>
          <w:numId w:val="23"/>
        </w:numPr>
        <w:ind w:firstLineChars="200" w:firstLine="480"/>
        <w:rPr>
          <w:rFonts w:ascii="Arial" w:hAnsi="Arial" w:cs="Arial"/>
          <w:sz w:val="24"/>
          <w:szCs w:val="24"/>
        </w:rPr>
      </w:pPr>
      <w:r w:rsidRPr="00E65496">
        <w:rPr>
          <w:rFonts w:ascii="Arial" w:hAnsi="Arial" w:cs="Arial"/>
          <w:sz w:val="24"/>
          <w:szCs w:val="24"/>
        </w:rPr>
        <w:t xml:space="preserve">Extremely High System Compatibility: Adopting </w:t>
      </w:r>
      <w:proofErr w:type="gramStart"/>
      <w:r w:rsidRPr="00E65496">
        <w:rPr>
          <w:rFonts w:ascii="Arial" w:hAnsi="Arial" w:cs="Arial"/>
          <w:sz w:val="24"/>
          <w:szCs w:val="24"/>
        </w:rPr>
        <w:t>a macroscopic</w:t>
      </w:r>
      <w:proofErr w:type="gramEnd"/>
      <w:r w:rsidRPr="00E65496">
        <w:rPr>
          <w:rFonts w:ascii="Arial" w:hAnsi="Arial" w:cs="Arial"/>
          <w:sz w:val="24"/>
          <w:szCs w:val="24"/>
        </w:rPr>
        <w:t xml:space="preserve"> and microscopic hierarchical architecture, it is fully compatible with existing mature particle physics and quantum mechanics theories, not overturning experimentally verified microscopic physical laws, only innovating the underlying logic of macroscopic cosmology and gravity;</w:t>
      </w:r>
    </w:p>
    <w:p w14:paraId="186D5F1A" w14:textId="77777777" w:rsidR="00E65496" w:rsidRPr="00E65496" w:rsidRDefault="00E65496" w:rsidP="00E65496">
      <w:pPr>
        <w:numPr>
          <w:ilvl w:val="0"/>
          <w:numId w:val="23"/>
        </w:numPr>
        <w:ind w:firstLineChars="200" w:firstLine="480"/>
        <w:rPr>
          <w:rFonts w:ascii="Arial" w:hAnsi="Arial" w:cs="Arial"/>
          <w:sz w:val="24"/>
          <w:szCs w:val="24"/>
        </w:rPr>
      </w:pPr>
      <w:r w:rsidRPr="00E65496">
        <w:rPr>
          <w:rFonts w:ascii="Arial" w:hAnsi="Arial" w:cs="Arial"/>
          <w:sz w:val="24"/>
          <w:szCs w:val="24"/>
        </w:rPr>
        <w:t>Strong Unified Explanatory Power: It can cover multiple core research issues including the nature of gravity, dark matter, dark energy, cosmic expansion, galactic evolution, black hole properties, quantum effects, and antimatter gravity, while supplementing the underlying mechanism of the unidirectional evolution of the universe;</w:t>
      </w:r>
    </w:p>
    <w:p w14:paraId="36E62909" w14:textId="77777777" w:rsidR="00E65496" w:rsidRPr="00E65496" w:rsidRDefault="00E65496" w:rsidP="00E65496">
      <w:pPr>
        <w:numPr>
          <w:ilvl w:val="0"/>
          <w:numId w:val="23"/>
        </w:numPr>
        <w:ind w:firstLineChars="200" w:firstLine="480"/>
        <w:rPr>
          <w:rFonts w:ascii="Arial" w:hAnsi="Arial" w:cs="Arial"/>
          <w:sz w:val="24"/>
          <w:szCs w:val="24"/>
        </w:rPr>
      </w:pPr>
      <w:r w:rsidRPr="00E65496">
        <w:rPr>
          <w:rFonts w:ascii="Arial" w:hAnsi="Arial" w:cs="Arial"/>
          <w:sz w:val="24"/>
          <w:szCs w:val="24"/>
        </w:rPr>
        <w:t>Strict Falsifiability: All core inferences are provided with corresponding observational judgment criteria, which can be verified for authenticity through astronomical observations and physical experiments;</w:t>
      </w:r>
    </w:p>
    <w:p w14:paraId="36C107C6" w14:textId="77777777" w:rsidR="00E65496" w:rsidRPr="00E65496" w:rsidRDefault="00E65496" w:rsidP="00E65496">
      <w:pPr>
        <w:numPr>
          <w:ilvl w:val="0"/>
          <w:numId w:val="23"/>
        </w:numPr>
        <w:ind w:firstLineChars="200" w:firstLine="480"/>
        <w:rPr>
          <w:rFonts w:ascii="Arial" w:hAnsi="Arial" w:cs="Arial"/>
          <w:sz w:val="24"/>
          <w:szCs w:val="24"/>
        </w:rPr>
      </w:pPr>
      <w:r w:rsidRPr="00E65496">
        <w:rPr>
          <w:rFonts w:ascii="Arial" w:hAnsi="Arial" w:cs="Arial"/>
          <w:sz w:val="24"/>
          <w:szCs w:val="24"/>
        </w:rPr>
        <w:lastRenderedPageBreak/>
        <w:t>Strong Mathematical System Compatibility: There is no need to overthrow existing mature theoretical calculation frameworks. Existing mathematical tools such as general relativity, continuum mechanics, and configurational scalar-tensor gravity can be used, and existing numerical models for galactic gravity and cosmology can be directly adapted.</w:t>
      </w:r>
    </w:p>
    <w:p w14:paraId="109EFA3B" w14:textId="77777777" w:rsidR="00E65496" w:rsidRDefault="00E65496" w:rsidP="00E65496">
      <w:pPr>
        <w:ind w:firstLineChars="200" w:firstLine="480"/>
        <w:rPr>
          <w:rFonts w:ascii="Arial" w:hAnsi="Arial" w:cs="Arial"/>
          <w:b/>
          <w:bCs/>
          <w:sz w:val="24"/>
          <w:szCs w:val="24"/>
        </w:rPr>
      </w:pPr>
    </w:p>
    <w:p w14:paraId="2654180A" w14:textId="609A0AD8" w:rsidR="00E65496" w:rsidRPr="00E65496" w:rsidRDefault="00E65496" w:rsidP="00E65496">
      <w:pPr>
        <w:ind w:firstLineChars="200" w:firstLine="480"/>
        <w:rPr>
          <w:rFonts w:ascii="Arial" w:hAnsi="Arial" w:cs="Arial"/>
          <w:b/>
          <w:bCs/>
          <w:sz w:val="24"/>
          <w:szCs w:val="24"/>
        </w:rPr>
      </w:pPr>
      <w:r w:rsidRPr="00E65496">
        <w:rPr>
          <w:rFonts w:ascii="Arial" w:hAnsi="Arial" w:cs="Arial"/>
          <w:b/>
          <w:bCs/>
          <w:sz w:val="24"/>
          <w:szCs w:val="24"/>
        </w:rPr>
        <w:t>9. Preliminary Mathematical Implementation Path</w:t>
      </w:r>
    </w:p>
    <w:p w14:paraId="032AFAB3" w14:textId="77777777" w:rsidR="00E65496" w:rsidRPr="00E65496" w:rsidRDefault="00E65496" w:rsidP="00E65496">
      <w:pPr>
        <w:numPr>
          <w:ilvl w:val="0"/>
          <w:numId w:val="24"/>
        </w:numPr>
        <w:ind w:firstLineChars="200" w:firstLine="480"/>
        <w:rPr>
          <w:rFonts w:ascii="Arial" w:hAnsi="Arial" w:cs="Arial"/>
          <w:sz w:val="24"/>
          <w:szCs w:val="24"/>
        </w:rPr>
      </w:pPr>
      <w:r w:rsidRPr="00E65496">
        <w:rPr>
          <w:rFonts w:ascii="Arial" w:hAnsi="Arial" w:cs="Arial"/>
          <w:sz w:val="24"/>
          <w:szCs w:val="24"/>
        </w:rPr>
        <w:t>Abandon calculation methods related to particle statistics and thermodynamic microscopic quantities, taking substrate deformation density, deformation gradient, and phase transition characteristic threshold a</w:t>
      </w:r>
      <w:r w:rsidRPr="00E65496">
        <w:rPr>
          <w:rFonts w:ascii="Cambria Math" w:hAnsi="Cambria Math" w:cs="Cambria Math"/>
          <w:sz w:val="24"/>
          <w:szCs w:val="24"/>
        </w:rPr>
        <w:t>₀</w:t>
      </w:r>
      <w:r w:rsidRPr="00E65496">
        <w:rPr>
          <w:rFonts w:ascii="Arial" w:hAnsi="Arial" w:cs="Arial"/>
          <w:sz w:val="24"/>
          <w:szCs w:val="24"/>
        </w:rPr>
        <w:t xml:space="preserve"> as core calculation variables;</w:t>
      </w:r>
    </w:p>
    <w:p w14:paraId="22E047F2" w14:textId="77777777" w:rsidR="00E65496" w:rsidRPr="00E65496" w:rsidRDefault="00E65496" w:rsidP="00E65496">
      <w:pPr>
        <w:numPr>
          <w:ilvl w:val="0"/>
          <w:numId w:val="24"/>
        </w:numPr>
        <w:ind w:firstLineChars="200" w:firstLine="480"/>
        <w:rPr>
          <w:rFonts w:ascii="Arial" w:hAnsi="Arial" w:cs="Arial"/>
          <w:sz w:val="24"/>
          <w:szCs w:val="24"/>
        </w:rPr>
      </w:pPr>
      <w:r w:rsidRPr="00E65496">
        <w:rPr>
          <w:rFonts w:ascii="Arial" w:hAnsi="Arial" w:cs="Arial"/>
          <w:sz w:val="24"/>
          <w:szCs w:val="24"/>
        </w:rPr>
        <w:t xml:space="preserve">Decompose the metric tensor </w:t>
      </w:r>
      <w:proofErr w:type="spellStart"/>
      <w:r w:rsidRPr="00E65496">
        <w:rPr>
          <w:rFonts w:ascii="Arial" w:hAnsi="Arial" w:cs="Arial"/>
          <w:sz w:val="24"/>
          <w:szCs w:val="24"/>
        </w:rPr>
        <w:t>g_μν</w:t>
      </w:r>
      <w:proofErr w:type="spellEnd"/>
      <w:r w:rsidRPr="00E65496">
        <w:rPr>
          <w:rFonts w:ascii="Arial" w:hAnsi="Arial" w:cs="Arial"/>
          <w:sz w:val="24"/>
          <w:szCs w:val="24"/>
        </w:rPr>
        <w:t xml:space="preserve"> in general relativity into the substrate background configuration </w:t>
      </w:r>
      <w:proofErr w:type="spellStart"/>
      <w:r w:rsidRPr="00E65496">
        <w:rPr>
          <w:rFonts w:ascii="Arial" w:hAnsi="Arial" w:cs="Arial"/>
          <w:sz w:val="24"/>
          <w:szCs w:val="24"/>
        </w:rPr>
        <w:t>g_μν</w:t>
      </w:r>
      <w:proofErr w:type="spellEnd"/>
      <w:r w:rsidRPr="00E65496">
        <w:rPr>
          <w:rFonts w:ascii="Cambria Math" w:hAnsi="Cambria Math" w:cs="Cambria Math"/>
          <w:sz w:val="24"/>
          <w:szCs w:val="24"/>
        </w:rPr>
        <w:t>⁽</w:t>
      </w:r>
      <w:r w:rsidRPr="00E65496">
        <w:rPr>
          <w:rFonts w:ascii="Arial" w:hAnsi="Arial" w:cs="Arial"/>
          <w:sz w:val="24"/>
          <w:szCs w:val="24"/>
        </w:rPr>
        <w:t>⁰</w:t>
      </w:r>
      <w:r w:rsidRPr="00E65496">
        <w:rPr>
          <w:rFonts w:ascii="Cambria Math" w:hAnsi="Cambria Math" w:cs="Cambria Math"/>
          <w:sz w:val="24"/>
          <w:szCs w:val="24"/>
        </w:rPr>
        <w:t>⁾</w:t>
      </w:r>
      <w:r w:rsidRPr="00E65496">
        <w:rPr>
          <w:rFonts w:ascii="Arial" w:hAnsi="Arial" w:cs="Arial"/>
          <w:sz w:val="24"/>
          <w:szCs w:val="24"/>
        </w:rPr>
        <w:t xml:space="preserve"> and local deformation perturbation </w:t>
      </w:r>
      <w:proofErr w:type="spellStart"/>
      <w:r w:rsidRPr="00E65496">
        <w:rPr>
          <w:rFonts w:ascii="Arial" w:hAnsi="Arial" w:cs="Arial"/>
          <w:sz w:val="24"/>
          <w:szCs w:val="24"/>
        </w:rPr>
        <w:t>h_μν</w:t>
      </w:r>
      <w:proofErr w:type="spellEnd"/>
      <w:r w:rsidRPr="00E65496">
        <w:rPr>
          <w:rFonts w:ascii="Arial" w:hAnsi="Arial" w:cs="Arial"/>
          <w:sz w:val="24"/>
          <w:szCs w:val="24"/>
        </w:rPr>
        <w:t xml:space="preserve">, i.e., </w:t>
      </w:r>
      <w:proofErr w:type="spellStart"/>
      <w:r w:rsidRPr="00E65496">
        <w:rPr>
          <w:rFonts w:ascii="Arial" w:hAnsi="Arial" w:cs="Arial"/>
          <w:sz w:val="24"/>
          <w:szCs w:val="24"/>
        </w:rPr>
        <w:t>g_μν</w:t>
      </w:r>
      <w:proofErr w:type="spellEnd"/>
      <w:r w:rsidRPr="00E65496">
        <w:rPr>
          <w:rFonts w:ascii="Arial" w:hAnsi="Arial" w:cs="Arial"/>
          <w:sz w:val="24"/>
          <w:szCs w:val="24"/>
        </w:rPr>
        <w:t xml:space="preserve"> = </w:t>
      </w:r>
      <w:proofErr w:type="spellStart"/>
      <w:r w:rsidRPr="00E65496">
        <w:rPr>
          <w:rFonts w:ascii="Arial" w:hAnsi="Arial" w:cs="Arial"/>
          <w:sz w:val="24"/>
          <w:szCs w:val="24"/>
        </w:rPr>
        <w:t>g_μν</w:t>
      </w:r>
      <w:proofErr w:type="spellEnd"/>
      <w:r w:rsidRPr="00E65496">
        <w:rPr>
          <w:rFonts w:ascii="Cambria Math" w:hAnsi="Cambria Math" w:cs="Cambria Math"/>
          <w:sz w:val="24"/>
          <w:szCs w:val="24"/>
        </w:rPr>
        <w:t>⁽</w:t>
      </w:r>
      <w:r w:rsidRPr="00E65496">
        <w:rPr>
          <w:rFonts w:ascii="Arial" w:hAnsi="Arial" w:cs="Arial"/>
          <w:sz w:val="24"/>
          <w:szCs w:val="24"/>
        </w:rPr>
        <w:t>⁰</w:t>
      </w:r>
      <w:r w:rsidRPr="00E65496">
        <w:rPr>
          <w:rFonts w:ascii="Cambria Math" w:hAnsi="Cambria Math" w:cs="Cambria Math"/>
          <w:sz w:val="24"/>
          <w:szCs w:val="24"/>
        </w:rPr>
        <w:t>⁾</w:t>
      </w:r>
      <w:r w:rsidRPr="00E65496">
        <w:rPr>
          <w:rFonts w:ascii="Arial" w:hAnsi="Arial" w:cs="Arial"/>
          <w:sz w:val="24"/>
          <w:szCs w:val="24"/>
        </w:rPr>
        <w:t xml:space="preserve"> + </w:t>
      </w:r>
      <w:proofErr w:type="spellStart"/>
      <w:r w:rsidRPr="00E65496">
        <w:rPr>
          <w:rFonts w:ascii="Arial" w:hAnsi="Arial" w:cs="Arial"/>
          <w:sz w:val="24"/>
          <w:szCs w:val="24"/>
        </w:rPr>
        <w:t>h_μν</w:t>
      </w:r>
      <w:proofErr w:type="spellEnd"/>
      <w:r w:rsidRPr="00E65496">
        <w:rPr>
          <w:rFonts w:ascii="Arial" w:hAnsi="Arial" w:cs="Arial"/>
          <w:sz w:val="24"/>
          <w:szCs w:val="24"/>
        </w:rPr>
        <w:t xml:space="preserve">, with the substrate deformation density </w:t>
      </w:r>
      <w:proofErr w:type="spellStart"/>
      <w:r w:rsidRPr="00E65496">
        <w:rPr>
          <w:rFonts w:ascii="Arial" w:hAnsi="Arial" w:cs="Arial"/>
          <w:sz w:val="24"/>
          <w:szCs w:val="24"/>
        </w:rPr>
        <w:t>ρ_def</w:t>
      </w:r>
      <w:proofErr w:type="spellEnd"/>
      <w:r w:rsidRPr="00E65496">
        <w:rPr>
          <w:rFonts w:ascii="Arial" w:hAnsi="Arial" w:cs="Arial"/>
          <w:sz w:val="24"/>
          <w:szCs w:val="24"/>
        </w:rPr>
        <w:t xml:space="preserve"> = √(-det(</w:t>
      </w:r>
      <w:proofErr w:type="spellStart"/>
      <w:r w:rsidRPr="00E65496">
        <w:rPr>
          <w:rFonts w:ascii="Arial" w:hAnsi="Arial" w:cs="Arial"/>
          <w:sz w:val="24"/>
          <w:szCs w:val="24"/>
        </w:rPr>
        <w:t>g_μν</w:t>
      </w:r>
      <w:proofErr w:type="spellEnd"/>
      <w:r w:rsidRPr="00E65496">
        <w:rPr>
          <w:rFonts w:ascii="Arial" w:hAnsi="Arial" w:cs="Arial"/>
          <w:sz w:val="24"/>
          <w:szCs w:val="24"/>
        </w:rPr>
        <w:t>)) - √(-det(</w:t>
      </w:r>
      <w:proofErr w:type="spellStart"/>
      <w:r w:rsidRPr="00E65496">
        <w:rPr>
          <w:rFonts w:ascii="Arial" w:hAnsi="Arial" w:cs="Arial"/>
          <w:sz w:val="24"/>
          <w:szCs w:val="24"/>
        </w:rPr>
        <w:t>g_μν</w:t>
      </w:r>
      <w:proofErr w:type="spellEnd"/>
      <w:r w:rsidRPr="00E65496">
        <w:rPr>
          <w:rFonts w:ascii="Cambria Math" w:hAnsi="Cambria Math" w:cs="Cambria Math"/>
          <w:sz w:val="24"/>
          <w:szCs w:val="24"/>
        </w:rPr>
        <w:t>⁽</w:t>
      </w:r>
      <w:r w:rsidRPr="00E65496">
        <w:rPr>
          <w:rFonts w:ascii="Arial" w:hAnsi="Arial" w:cs="Arial"/>
          <w:sz w:val="24"/>
          <w:szCs w:val="24"/>
        </w:rPr>
        <w:t>⁰</w:t>
      </w:r>
      <w:r w:rsidRPr="00E65496">
        <w:rPr>
          <w:rFonts w:ascii="Cambria Math" w:hAnsi="Cambria Math" w:cs="Cambria Math"/>
          <w:sz w:val="24"/>
          <w:szCs w:val="24"/>
        </w:rPr>
        <w:t>⁾</w:t>
      </w:r>
      <w:r w:rsidRPr="00E65496">
        <w:rPr>
          <w:rFonts w:ascii="Arial" w:hAnsi="Arial" w:cs="Arial"/>
          <w:sz w:val="24"/>
          <w:szCs w:val="24"/>
        </w:rPr>
        <w:t>));</w:t>
      </w:r>
    </w:p>
    <w:p w14:paraId="1134DB1F" w14:textId="77777777" w:rsidR="00E65496" w:rsidRPr="00E65496" w:rsidRDefault="00E65496" w:rsidP="00E65496">
      <w:pPr>
        <w:numPr>
          <w:ilvl w:val="0"/>
          <w:numId w:val="24"/>
        </w:numPr>
        <w:ind w:firstLineChars="200" w:firstLine="480"/>
        <w:rPr>
          <w:rFonts w:ascii="Arial" w:hAnsi="Arial" w:cs="Arial"/>
          <w:sz w:val="24"/>
          <w:szCs w:val="24"/>
        </w:rPr>
      </w:pPr>
      <w:r w:rsidRPr="00E65496">
        <w:rPr>
          <w:rFonts w:ascii="Arial" w:hAnsi="Arial" w:cs="Arial"/>
          <w:sz w:val="24"/>
          <w:szCs w:val="24"/>
        </w:rPr>
        <w:t>Use existing continuum mechanics, general relativity deformation field equations, and the scalar-tensor mathematical structure of Configurational Scalar-Tensor Gravity (CSTG), eliminate unproven particle coupling terms and direct scalar field-Ricci scalar coupling terms, and retain only substrate deformation evolution terms;</w:t>
      </w:r>
    </w:p>
    <w:p w14:paraId="33C6F454" w14:textId="77777777" w:rsidR="00E65496" w:rsidRPr="00E65496" w:rsidRDefault="00E65496" w:rsidP="00E65496">
      <w:pPr>
        <w:numPr>
          <w:ilvl w:val="0"/>
          <w:numId w:val="24"/>
        </w:numPr>
        <w:ind w:firstLineChars="200" w:firstLine="480"/>
        <w:rPr>
          <w:rFonts w:ascii="Arial" w:hAnsi="Arial" w:cs="Arial"/>
          <w:sz w:val="24"/>
          <w:szCs w:val="24"/>
        </w:rPr>
      </w:pPr>
      <w:r w:rsidRPr="00E65496">
        <w:rPr>
          <w:rFonts w:ascii="Arial" w:hAnsi="Arial" w:cs="Arial"/>
          <w:sz w:val="24"/>
          <w:szCs w:val="24"/>
        </w:rPr>
        <w:t>Take a</w:t>
      </w:r>
      <w:r w:rsidRPr="00E65496">
        <w:rPr>
          <w:rFonts w:ascii="Cambria Math" w:hAnsi="Cambria Math" w:cs="Cambria Math"/>
          <w:sz w:val="24"/>
          <w:szCs w:val="24"/>
        </w:rPr>
        <w:t>₀</w:t>
      </w:r>
      <w:r w:rsidRPr="00E65496">
        <w:rPr>
          <w:rFonts w:ascii="Arial" w:hAnsi="Arial" w:cs="Arial"/>
          <w:sz w:val="24"/>
          <w:szCs w:val="24"/>
        </w:rPr>
        <w:t xml:space="preserve"> as the phase transition judgment basis, divide the mathematical boundaries of the four configurations of extended, contracted, dense, and extreme, the phase transition process can be described by introducing the Heaviside step function Θ(</w:t>
      </w:r>
      <w:proofErr w:type="spellStart"/>
      <w:r w:rsidRPr="00E65496">
        <w:rPr>
          <w:rFonts w:ascii="Arial" w:hAnsi="Arial" w:cs="Arial"/>
          <w:sz w:val="24"/>
          <w:szCs w:val="24"/>
        </w:rPr>
        <w:t>ρ_def</w:t>
      </w:r>
      <w:proofErr w:type="spellEnd"/>
      <w:r w:rsidRPr="00E65496">
        <w:rPr>
          <w:rFonts w:ascii="Arial" w:hAnsi="Arial" w:cs="Arial"/>
          <w:sz w:val="24"/>
          <w:szCs w:val="24"/>
        </w:rPr>
        <w:t xml:space="preserve"> - </w:t>
      </w:r>
      <w:proofErr w:type="spellStart"/>
      <w:r w:rsidRPr="00E65496">
        <w:rPr>
          <w:rFonts w:ascii="Arial" w:hAnsi="Arial" w:cs="Arial"/>
          <w:sz w:val="24"/>
          <w:szCs w:val="24"/>
        </w:rPr>
        <w:t>ρ_c</w:t>
      </w:r>
      <w:proofErr w:type="spellEnd"/>
      <w:r w:rsidRPr="00E65496">
        <w:rPr>
          <w:rFonts w:ascii="Arial" w:hAnsi="Arial" w:cs="Arial"/>
          <w:sz w:val="24"/>
          <w:szCs w:val="24"/>
        </w:rPr>
        <w:t xml:space="preserve">), where </w:t>
      </w:r>
      <w:proofErr w:type="spellStart"/>
      <w:r w:rsidRPr="00E65496">
        <w:rPr>
          <w:rFonts w:ascii="Arial" w:hAnsi="Arial" w:cs="Arial"/>
          <w:sz w:val="24"/>
          <w:szCs w:val="24"/>
        </w:rPr>
        <w:t>ρ_c</w:t>
      </w:r>
      <w:proofErr w:type="spellEnd"/>
      <w:r w:rsidRPr="00E65496">
        <w:rPr>
          <w:rFonts w:ascii="Arial" w:hAnsi="Arial" w:cs="Arial"/>
          <w:sz w:val="24"/>
          <w:szCs w:val="24"/>
        </w:rPr>
        <w:t xml:space="preserve"> is the critical deformation density corresponding to the phase transition; simultaneously add environmental correction factors to reflect the characteristic of the threshold changing slightly with spatial conditions, adapting to galactic gravity and cosmic expansion numerical calculations;</w:t>
      </w:r>
    </w:p>
    <w:p w14:paraId="7297F99A" w14:textId="77777777" w:rsidR="00E65496" w:rsidRPr="00E65496" w:rsidRDefault="00E65496" w:rsidP="00E65496">
      <w:pPr>
        <w:numPr>
          <w:ilvl w:val="0"/>
          <w:numId w:val="24"/>
        </w:numPr>
        <w:ind w:firstLineChars="200" w:firstLine="480"/>
        <w:rPr>
          <w:rFonts w:ascii="Arial" w:hAnsi="Arial" w:cs="Arial"/>
          <w:sz w:val="24"/>
          <w:szCs w:val="24"/>
        </w:rPr>
      </w:pPr>
      <w:r w:rsidRPr="00E65496">
        <w:rPr>
          <w:rFonts w:ascii="Arial" w:hAnsi="Arial" w:cs="Arial"/>
          <w:sz w:val="24"/>
          <w:szCs w:val="24"/>
        </w:rPr>
        <w:t>There is no need to build a new complex mathematical system, and theoretical deduction and effect verification can be completed within the existing astronomical gravity calculation framework.</w:t>
      </w:r>
    </w:p>
    <w:p w14:paraId="50E4478F" w14:textId="77777777" w:rsidR="00E65496" w:rsidRDefault="00E65496" w:rsidP="00E65496">
      <w:pPr>
        <w:ind w:firstLineChars="200" w:firstLine="480"/>
        <w:rPr>
          <w:rFonts w:ascii="Arial" w:hAnsi="Arial" w:cs="Arial"/>
          <w:sz w:val="24"/>
          <w:szCs w:val="24"/>
        </w:rPr>
      </w:pPr>
    </w:p>
    <w:p w14:paraId="4B4F86E6" w14:textId="0119ABE6" w:rsidR="00E65496" w:rsidRPr="00E65496" w:rsidRDefault="00E65496" w:rsidP="00E65496">
      <w:pPr>
        <w:ind w:firstLineChars="200" w:firstLine="480"/>
        <w:rPr>
          <w:rFonts w:ascii="Arial" w:hAnsi="Arial" w:cs="Arial"/>
          <w:b/>
          <w:bCs/>
          <w:sz w:val="24"/>
          <w:szCs w:val="24"/>
        </w:rPr>
      </w:pPr>
      <w:r w:rsidRPr="00E65496">
        <w:rPr>
          <w:rFonts w:ascii="Arial" w:hAnsi="Arial" w:cs="Arial"/>
          <w:b/>
          <w:bCs/>
          <w:sz w:val="24"/>
          <w:szCs w:val="24"/>
        </w:rPr>
        <w:t>10. Theoretical Verification System</w:t>
      </w:r>
    </w:p>
    <w:p w14:paraId="44F70C6E"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 xml:space="preserve">This theory has achieved self-consistency at the calculation level. All subsequent verifications do not require overthrowing existing calculation </w:t>
      </w:r>
      <w:proofErr w:type="gramStart"/>
      <w:r w:rsidRPr="00E65496">
        <w:rPr>
          <w:rFonts w:ascii="Arial" w:hAnsi="Arial" w:cs="Arial"/>
          <w:sz w:val="24"/>
          <w:szCs w:val="24"/>
        </w:rPr>
        <w:t>systems, but</w:t>
      </w:r>
      <w:proofErr w:type="gramEnd"/>
      <w:r w:rsidRPr="00E65496">
        <w:rPr>
          <w:rFonts w:ascii="Arial" w:hAnsi="Arial" w:cs="Arial"/>
          <w:sz w:val="24"/>
          <w:szCs w:val="24"/>
        </w:rPr>
        <w:t xml:space="preserve"> only need to distinguish between the two physical interpretations of "unified substrate configuration" and "dark matter particles" through astronomical and experimental observations to gradually complete the empirical verification of the theory.</w:t>
      </w:r>
    </w:p>
    <w:p w14:paraId="54A4C0DC"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The following verification items are ordered from lowest to highest difficulty of theoretical falsification, with the first three items completable within the next 5-10 years using existing observational equipment</w:t>
      </w:r>
    </w:p>
    <w:p w14:paraId="4F879D26"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10.1 Core Mandatory Verification Items</w:t>
      </w:r>
    </w:p>
    <w:p w14:paraId="20A4A3DB" w14:textId="77777777" w:rsidR="00E65496" w:rsidRPr="00E65496" w:rsidRDefault="00E65496" w:rsidP="00E65496">
      <w:pPr>
        <w:numPr>
          <w:ilvl w:val="0"/>
          <w:numId w:val="25"/>
        </w:numPr>
        <w:ind w:firstLineChars="200" w:firstLine="480"/>
        <w:rPr>
          <w:rFonts w:ascii="Arial" w:hAnsi="Arial" w:cs="Arial"/>
          <w:sz w:val="24"/>
          <w:szCs w:val="24"/>
        </w:rPr>
      </w:pPr>
      <w:r w:rsidRPr="00E65496">
        <w:rPr>
          <w:rFonts w:ascii="Arial" w:hAnsi="Arial" w:cs="Arial"/>
          <w:sz w:val="24"/>
          <w:szCs w:val="24"/>
        </w:rPr>
        <w:lastRenderedPageBreak/>
        <w:t>Critical Acceleration Threshold Universality Test: Through large-sample galactic dynamics observations and gravitational lensing mapping, test whether the characteristic threshold of gravitational deviation from Newtonian gravity is generally close to a</w:t>
      </w:r>
      <w:r w:rsidRPr="00E65496">
        <w:rPr>
          <w:rFonts w:ascii="Cambria Math" w:hAnsi="Cambria Math" w:cs="Cambria Math"/>
          <w:sz w:val="24"/>
          <w:szCs w:val="24"/>
        </w:rPr>
        <w:t>₀</w:t>
      </w:r>
      <w:r w:rsidRPr="00E65496">
        <w:rPr>
          <w:rFonts w:ascii="Arial" w:hAnsi="Arial" w:cs="Arial"/>
          <w:sz w:val="24"/>
          <w:szCs w:val="24"/>
        </w:rPr>
        <w:t xml:space="preserve"> ≈ 1.2×10</w:t>
      </w:r>
      <w:r w:rsidRPr="00E65496">
        <w:rPr>
          <w:rFonts w:ascii="Cambria Math" w:hAnsi="Cambria Math" w:cs="Cambria Math"/>
          <w:sz w:val="24"/>
          <w:szCs w:val="24"/>
        </w:rPr>
        <w:t>⁻</w:t>
      </w:r>
      <w:r w:rsidRPr="00E65496">
        <w:rPr>
          <w:rFonts w:ascii="Arial" w:hAnsi="Arial" w:cs="Arial"/>
          <w:sz w:val="24"/>
          <w:szCs w:val="24"/>
        </w:rPr>
        <w:t>¹⁰ m/s² in galaxies, dwarf galaxies, galaxy clusters, and cosmic void edges; simultaneously verify whether this threshold changes measurably with local constraint strength and energy density.</w:t>
      </w:r>
    </w:p>
    <w:p w14:paraId="672ED55C" w14:textId="77777777" w:rsidR="00E65496" w:rsidRPr="00E65496" w:rsidRDefault="00E65496" w:rsidP="00E65496">
      <w:pPr>
        <w:numPr>
          <w:ilvl w:val="0"/>
          <w:numId w:val="25"/>
        </w:numPr>
        <w:ind w:firstLineChars="200" w:firstLine="480"/>
        <w:rPr>
          <w:rFonts w:ascii="Arial" w:hAnsi="Arial" w:cs="Arial"/>
          <w:sz w:val="24"/>
          <w:szCs w:val="24"/>
        </w:rPr>
      </w:pPr>
      <w:r w:rsidRPr="00E65496">
        <w:rPr>
          <w:rFonts w:ascii="Arial" w:hAnsi="Arial" w:cs="Arial"/>
          <w:sz w:val="24"/>
          <w:szCs w:val="24"/>
        </w:rPr>
        <w:t>Gravitational Structure Timing Test: Through James Webb Space Telescope observations of early universe dark matter halos and starless gravitational potential wells, verify whether the formation time of dark matter gravitational skeletons is earlier than that of stars and baryonic matter.</w:t>
      </w:r>
    </w:p>
    <w:p w14:paraId="0ABC0B3C" w14:textId="77777777" w:rsidR="00E65496" w:rsidRPr="00E65496" w:rsidRDefault="00E65496" w:rsidP="00E65496">
      <w:pPr>
        <w:numPr>
          <w:ilvl w:val="0"/>
          <w:numId w:val="25"/>
        </w:numPr>
        <w:ind w:firstLineChars="200" w:firstLine="480"/>
        <w:rPr>
          <w:rFonts w:ascii="Arial" w:hAnsi="Arial" w:cs="Arial"/>
          <w:sz w:val="24"/>
          <w:szCs w:val="24"/>
        </w:rPr>
      </w:pPr>
      <w:r w:rsidRPr="00E65496">
        <w:rPr>
          <w:rFonts w:ascii="Arial" w:hAnsi="Arial" w:cs="Arial"/>
          <w:sz w:val="24"/>
          <w:szCs w:val="24"/>
        </w:rPr>
        <w:t>Search for Isolated Pure Dark Matter Objects: Through all-sky gravitational lensing surveys, test whether there exist isolated dark matter objects and pure dark matter halos detached from ordinary matter.</w:t>
      </w:r>
    </w:p>
    <w:p w14:paraId="6B07A3FB" w14:textId="77777777" w:rsidR="00E65496" w:rsidRPr="00E65496" w:rsidRDefault="00E65496" w:rsidP="00E65496">
      <w:pPr>
        <w:numPr>
          <w:ilvl w:val="0"/>
          <w:numId w:val="25"/>
        </w:numPr>
        <w:ind w:firstLineChars="200" w:firstLine="480"/>
        <w:rPr>
          <w:rFonts w:ascii="Arial" w:hAnsi="Arial" w:cs="Arial"/>
          <w:sz w:val="24"/>
          <w:szCs w:val="24"/>
        </w:rPr>
      </w:pPr>
      <w:r w:rsidRPr="00E65496">
        <w:rPr>
          <w:rFonts w:ascii="Arial" w:hAnsi="Arial" w:cs="Arial"/>
          <w:sz w:val="24"/>
          <w:szCs w:val="24"/>
        </w:rPr>
        <w:t>Black Hole Central Structure Test: Through LIGO and future space gravitational wave detectors, observe whether the gravitational wave ringdown waveforms of black hole mergers have measurable deviations from general relativity singularity models.</w:t>
      </w:r>
    </w:p>
    <w:p w14:paraId="1F2AD450"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10.2 Auxiliary In-depth Verification Items</w:t>
      </w:r>
    </w:p>
    <w:p w14:paraId="491FCBEA" w14:textId="77777777" w:rsidR="00E65496" w:rsidRPr="00E65496" w:rsidRDefault="00E65496" w:rsidP="00E65496">
      <w:pPr>
        <w:numPr>
          <w:ilvl w:val="0"/>
          <w:numId w:val="26"/>
        </w:numPr>
        <w:ind w:firstLineChars="200" w:firstLine="480"/>
        <w:rPr>
          <w:rFonts w:ascii="Arial" w:hAnsi="Arial" w:cs="Arial"/>
          <w:sz w:val="24"/>
          <w:szCs w:val="24"/>
        </w:rPr>
      </w:pPr>
      <w:r w:rsidRPr="00E65496">
        <w:rPr>
          <w:rFonts w:ascii="Arial" w:hAnsi="Arial" w:cs="Arial"/>
          <w:sz w:val="24"/>
          <w:szCs w:val="24"/>
        </w:rPr>
        <w:t>Gravitational Wave and Electromagnetic Wave Propagation Time Difference Test: Through multi-messenger astronomical observations, test whether there is a systematic advance in the arrival time of gravitational waves in events such as neutron star mergers and gamma-ray bursts.</w:t>
      </w:r>
    </w:p>
    <w:p w14:paraId="63DEBB74" w14:textId="77777777" w:rsidR="00E65496" w:rsidRPr="00E65496" w:rsidRDefault="00E65496" w:rsidP="00E65496">
      <w:pPr>
        <w:numPr>
          <w:ilvl w:val="0"/>
          <w:numId w:val="26"/>
        </w:numPr>
        <w:ind w:firstLineChars="200" w:firstLine="480"/>
        <w:rPr>
          <w:rFonts w:ascii="Arial" w:hAnsi="Arial" w:cs="Arial"/>
          <w:sz w:val="24"/>
          <w:szCs w:val="24"/>
        </w:rPr>
      </w:pPr>
      <w:r w:rsidRPr="00E65496">
        <w:rPr>
          <w:rFonts w:ascii="Arial" w:hAnsi="Arial" w:cs="Arial"/>
          <w:sz w:val="24"/>
          <w:szCs w:val="24"/>
        </w:rPr>
        <w:t>Dark Matter Halo Structure Test: Through precise strong gravitational lensing observations, test whether the density distribution of dark matter halos conforms to continuous medium characteristics without fine structures of particle discrete clusters.</w:t>
      </w:r>
    </w:p>
    <w:p w14:paraId="72CA3D1C" w14:textId="77777777" w:rsidR="00E65496" w:rsidRPr="00E65496" w:rsidRDefault="00E65496" w:rsidP="00E65496">
      <w:pPr>
        <w:numPr>
          <w:ilvl w:val="0"/>
          <w:numId w:val="26"/>
        </w:numPr>
        <w:ind w:firstLineChars="200" w:firstLine="480"/>
        <w:rPr>
          <w:rFonts w:ascii="Arial" w:hAnsi="Arial" w:cs="Arial"/>
          <w:sz w:val="24"/>
          <w:szCs w:val="24"/>
        </w:rPr>
      </w:pPr>
      <w:r w:rsidRPr="00E65496">
        <w:rPr>
          <w:rFonts w:ascii="Arial" w:hAnsi="Arial" w:cs="Arial"/>
          <w:sz w:val="24"/>
          <w:szCs w:val="24"/>
        </w:rPr>
        <w:t>Cosmic Expansion and Substrate Extension Coupling Test: Through supernova surveys and large-scale cosmic structure mapping, test whether the cosmic expansion acceleration is correlated with the density distribution of large-scale substrate extended configurations.</w:t>
      </w:r>
    </w:p>
    <w:p w14:paraId="5397518F" w14:textId="77777777" w:rsidR="00E65496" w:rsidRPr="00E65496" w:rsidRDefault="00E65496" w:rsidP="00E65496">
      <w:pPr>
        <w:numPr>
          <w:ilvl w:val="0"/>
          <w:numId w:val="26"/>
        </w:numPr>
        <w:ind w:firstLineChars="200" w:firstLine="480"/>
        <w:rPr>
          <w:rFonts w:ascii="Arial" w:hAnsi="Arial" w:cs="Arial"/>
          <w:sz w:val="24"/>
          <w:szCs w:val="24"/>
        </w:rPr>
      </w:pPr>
      <w:r w:rsidRPr="00E65496">
        <w:rPr>
          <w:rFonts w:ascii="Arial" w:hAnsi="Arial" w:cs="Arial"/>
          <w:sz w:val="24"/>
          <w:szCs w:val="24"/>
        </w:rPr>
        <w:t>Galaxy Cluster Collision Characteristic Test: Through X-ray and high-precision gravitational lensing observations, further verify the misalignment characteristics between gravitational lensing and visible matter in collision systems such as the Bullet Cluster.</w:t>
      </w:r>
    </w:p>
    <w:p w14:paraId="6F20B47C"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10.3 Exclusive Supporting Verification Items</w:t>
      </w:r>
    </w:p>
    <w:p w14:paraId="54B8FB92"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If all underground dark matter detectors and high-energy colliders worldwide continue to fail to detect dark matter particle signals in long-term observations, it will provide important exclusive supporting evidence for the unified substrate theory.</w:t>
      </w:r>
    </w:p>
    <w:p w14:paraId="545CA458" w14:textId="77777777" w:rsidR="00E65496" w:rsidRDefault="00E65496" w:rsidP="00E65496">
      <w:pPr>
        <w:ind w:firstLineChars="200" w:firstLine="480"/>
        <w:rPr>
          <w:rFonts w:ascii="Arial" w:hAnsi="Arial" w:cs="Arial"/>
          <w:sz w:val="24"/>
          <w:szCs w:val="24"/>
        </w:rPr>
      </w:pPr>
    </w:p>
    <w:p w14:paraId="5797FA10" w14:textId="5537AFB5"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11. Theoretical Limitations and Future Research Directions</w:t>
      </w:r>
    </w:p>
    <w:p w14:paraId="7C611279" w14:textId="77777777" w:rsidR="00E65496" w:rsidRPr="00E65496" w:rsidRDefault="00E65496" w:rsidP="00E65496">
      <w:pPr>
        <w:numPr>
          <w:ilvl w:val="0"/>
          <w:numId w:val="27"/>
        </w:numPr>
        <w:ind w:firstLineChars="200" w:firstLine="480"/>
        <w:rPr>
          <w:rFonts w:ascii="Arial" w:hAnsi="Arial" w:cs="Arial"/>
          <w:sz w:val="24"/>
          <w:szCs w:val="24"/>
        </w:rPr>
      </w:pPr>
      <w:r w:rsidRPr="00E65496">
        <w:rPr>
          <w:rFonts w:ascii="Arial" w:hAnsi="Arial" w:cs="Arial"/>
          <w:sz w:val="24"/>
          <w:szCs w:val="24"/>
        </w:rPr>
        <w:lastRenderedPageBreak/>
        <w:t>This theory has currently only completed the qualitative framework construction at the macroscopic gravity and cosmology levels, and the specific correspondence between substrate configurations and quantum field theory at microscopic scales has not been established;</w:t>
      </w:r>
    </w:p>
    <w:p w14:paraId="330EA3EB" w14:textId="77777777" w:rsidR="00E65496" w:rsidRPr="00E65496" w:rsidRDefault="00E65496" w:rsidP="00E65496">
      <w:pPr>
        <w:numPr>
          <w:ilvl w:val="0"/>
          <w:numId w:val="27"/>
        </w:numPr>
        <w:ind w:firstLineChars="200" w:firstLine="480"/>
        <w:rPr>
          <w:rFonts w:ascii="Arial" w:hAnsi="Arial" w:cs="Arial"/>
          <w:sz w:val="24"/>
          <w:szCs w:val="24"/>
        </w:rPr>
      </w:pPr>
      <w:r w:rsidRPr="00E65496">
        <w:rPr>
          <w:rFonts w:ascii="Arial" w:hAnsi="Arial" w:cs="Arial"/>
          <w:sz w:val="24"/>
          <w:szCs w:val="24"/>
        </w:rPr>
        <w:t>The microscopic dynamic mechanism of the substrate, elastic modulus, and other basic physical parameters have not been determined;</w:t>
      </w:r>
    </w:p>
    <w:p w14:paraId="53B340DE" w14:textId="77777777" w:rsidR="00E65496" w:rsidRPr="00E65496" w:rsidRDefault="00E65496" w:rsidP="00E65496">
      <w:pPr>
        <w:numPr>
          <w:ilvl w:val="0"/>
          <w:numId w:val="27"/>
        </w:numPr>
        <w:ind w:firstLineChars="200" w:firstLine="480"/>
        <w:rPr>
          <w:rFonts w:ascii="Arial" w:hAnsi="Arial" w:cs="Arial"/>
          <w:sz w:val="24"/>
          <w:szCs w:val="24"/>
        </w:rPr>
      </w:pPr>
      <w:r w:rsidRPr="00E65496">
        <w:rPr>
          <w:rFonts w:ascii="Arial" w:hAnsi="Arial" w:cs="Arial"/>
          <w:sz w:val="24"/>
          <w:szCs w:val="24"/>
        </w:rPr>
        <w:t>The substrate evolution process during the cosmic early inflation stage requires further research;</w:t>
      </w:r>
    </w:p>
    <w:p w14:paraId="1ECC5DF7" w14:textId="77777777" w:rsidR="00E65496" w:rsidRPr="00E65496" w:rsidRDefault="00E65496" w:rsidP="00E65496">
      <w:pPr>
        <w:numPr>
          <w:ilvl w:val="0"/>
          <w:numId w:val="27"/>
        </w:numPr>
        <w:ind w:firstLineChars="200" w:firstLine="480"/>
        <w:rPr>
          <w:rFonts w:ascii="Arial" w:hAnsi="Arial" w:cs="Arial"/>
          <w:sz w:val="24"/>
          <w:szCs w:val="24"/>
        </w:rPr>
      </w:pPr>
      <w:r w:rsidRPr="00E65496">
        <w:rPr>
          <w:rFonts w:ascii="Arial" w:hAnsi="Arial" w:cs="Arial"/>
          <w:sz w:val="24"/>
          <w:szCs w:val="24"/>
        </w:rPr>
        <w:t>Details such as the specific dynamic process and phase transition time scale of substrate phase transitions still need in-depth discussion.</w:t>
      </w:r>
    </w:p>
    <w:p w14:paraId="489D1E1F" w14:textId="77777777" w:rsidR="00E56217" w:rsidRDefault="00E56217" w:rsidP="00E65496">
      <w:pPr>
        <w:ind w:firstLineChars="200" w:firstLine="480"/>
        <w:rPr>
          <w:rFonts w:ascii="Arial" w:hAnsi="Arial" w:cs="Arial"/>
          <w:b/>
          <w:bCs/>
          <w:sz w:val="24"/>
          <w:szCs w:val="24"/>
        </w:rPr>
      </w:pPr>
    </w:p>
    <w:p w14:paraId="213D93FD" w14:textId="4D0B6135" w:rsidR="00E65496" w:rsidRPr="00E56217" w:rsidRDefault="00E65496" w:rsidP="00E65496">
      <w:pPr>
        <w:ind w:firstLineChars="200" w:firstLine="480"/>
        <w:rPr>
          <w:rFonts w:ascii="Arial" w:hAnsi="Arial" w:cs="Arial"/>
          <w:b/>
          <w:bCs/>
          <w:sz w:val="24"/>
          <w:szCs w:val="24"/>
        </w:rPr>
      </w:pPr>
      <w:r w:rsidRPr="00E56217">
        <w:rPr>
          <w:rFonts w:ascii="Arial" w:hAnsi="Arial" w:cs="Arial"/>
          <w:b/>
          <w:bCs/>
          <w:sz w:val="24"/>
          <w:szCs w:val="24"/>
        </w:rPr>
        <w:t>References</w:t>
      </w:r>
    </w:p>
    <w:p w14:paraId="526320C8"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 xml:space="preserve">[1] Planck Collaboration et al. (2020). Planck 2018 results. VI. Cosmological parameters. </w:t>
      </w:r>
      <w:r w:rsidRPr="00E65496">
        <w:rPr>
          <w:rFonts w:ascii="Arial" w:hAnsi="Arial" w:cs="Arial"/>
          <w:i/>
          <w:iCs/>
          <w:sz w:val="24"/>
          <w:szCs w:val="24"/>
        </w:rPr>
        <w:t>Astronomy &amp; Astrophysics</w:t>
      </w:r>
      <w:r w:rsidRPr="00E65496">
        <w:rPr>
          <w:rFonts w:ascii="Arial" w:hAnsi="Arial" w:cs="Arial"/>
          <w:sz w:val="24"/>
          <w:szCs w:val="24"/>
        </w:rPr>
        <w:t>, 641, A6.</w:t>
      </w:r>
    </w:p>
    <w:p w14:paraId="3FED8A9F"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 xml:space="preserve">[2] Milgrom, M. (1983). A modification of the Newtonian dynamics as a possible alternative to the hidden mass hypothesis. </w:t>
      </w:r>
      <w:r w:rsidRPr="00E65496">
        <w:rPr>
          <w:rFonts w:ascii="Arial" w:hAnsi="Arial" w:cs="Arial"/>
          <w:i/>
          <w:iCs/>
          <w:sz w:val="24"/>
          <w:szCs w:val="24"/>
        </w:rPr>
        <w:t>The Astrophysical Journal</w:t>
      </w:r>
      <w:r w:rsidRPr="00E65496">
        <w:rPr>
          <w:rFonts w:ascii="Arial" w:hAnsi="Arial" w:cs="Arial"/>
          <w:sz w:val="24"/>
          <w:szCs w:val="24"/>
        </w:rPr>
        <w:t>, 270, 365-370.</w:t>
      </w:r>
    </w:p>
    <w:p w14:paraId="16EBDA2B"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 xml:space="preserve">[3] Verde, L., et al. (2019). Tensions between the early and late Universe. </w:t>
      </w:r>
      <w:r w:rsidRPr="00E65496">
        <w:rPr>
          <w:rFonts w:ascii="Arial" w:hAnsi="Arial" w:cs="Arial"/>
          <w:i/>
          <w:iCs/>
          <w:sz w:val="24"/>
          <w:szCs w:val="24"/>
        </w:rPr>
        <w:t>Nature Astronomy</w:t>
      </w:r>
      <w:r w:rsidRPr="00E65496">
        <w:rPr>
          <w:rFonts w:ascii="Arial" w:hAnsi="Arial" w:cs="Arial"/>
          <w:sz w:val="24"/>
          <w:szCs w:val="24"/>
        </w:rPr>
        <w:t>, 3(10), 891-904.</w:t>
      </w:r>
    </w:p>
    <w:p w14:paraId="711D6661"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 xml:space="preserve">[4] ALPHA Collaboration et al. (2023). Measurement of the gravitational acceleration of antihydrogen. </w:t>
      </w:r>
      <w:r w:rsidRPr="00E65496">
        <w:rPr>
          <w:rFonts w:ascii="Arial" w:hAnsi="Arial" w:cs="Arial"/>
          <w:i/>
          <w:iCs/>
          <w:sz w:val="24"/>
          <w:szCs w:val="24"/>
        </w:rPr>
        <w:t>Nature</w:t>
      </w:r>
      <w:r w:rsidRPr="00E65496">
        <w:rPr>
          <w:rFonts w:ascii="Arial" w:hAnsi="Arial" w:cs="Arial"/>
          <w:sz w:val="24"/>
          <w:szCs w:val="24"/>
        </w:rPr>
        <w:t>, 619, 716-720.</w:t>
      </w:r>
    </w:p>
    <w:p w14:paraId="0FED9160" w14:textId="77777777" w:rsidR="00E65496" w:rsidRPr="00E65496" w:rsidRDefault="00E65496" w:rsidP="00E65496">
      <w:pPr>
        <w:ind w:firstLineChars="200" w:firstLine="480"/>
        <w:rPr>
          <w:rFonts w:ascii="Arial" w:hAnsi="Arial" w:cs="Arial"/>
          <w:sz w:val="24"/>
          <w:szCs w:val="24"/>
        </w:rPr>
      </w:pPr>
      <w:r w:rsidRPr="00E65496">
        <w:rPr>
          <w:rFonts w:ascii="Arial" w:hAnsi="Arial" w:cs="Arial"/>
          <w:sz w:val="24"/>
          <w:szCs w:val="24"/>
        </w:rPr>
        <w:t xml:space="preserve">[5] </w:t>
      </w:r>
      <w:proofErr w:type="spellStart"/>
      <w:r w:rsidRPr="00E65496">
        <w:rPr>
          <w:rFonts w:ascii="Arial" w:hAnsi="Arial" w:cs="Arial"/>
          <w:sz w:val="24"/>
          <w:szCs w:val="24"/>
        </w:rPr>
        <w:t>Skordis</w:t>
      </w:r>
      <w:proofErr w:type="spellEnd"/>
      <w:r w:rsidRPr="00E65496">
        <w:rPr>
          <w:rFonts w:ascii="Arial" w:hAnsi="Arial" w:cs="Arial"/>
          <w:sz w:val="24"/>
          <w:szCs w:val="24"/>
        </w:rPr>
        <w:t xml:space="preserve">, C., &amp; </w:t>
      </w:r>
      <w:proofErr w:type="spellStart"/>
      <w:r w:rsidRPr="00E65496">
        <w:rPr>
          <w:rFonts w:ascii="Arial" w:hAnsi="Arial" w:cs="Arial"/>
          <w:sz w:val="24"/>
          <w:szCs w:val="24"/>
        </w:rPr>
        <w:t>Złośnik</w:t>
      </w:r>
      <w:proofErr w:type="spellEnd"/>
      <w:r w:rsidRPr="00E65496">
        <w:rPr>
          <w:rFonts w:ascii="Arial" w:hAnsi="Arial" w:cs="Arial"/>
          <w:sz w:val="24"/>
          <w:szCs w:val="24"/>
        </w:rPr>
        <w:t xml:space="preserve">, T. (2019). New relativistic theory for modified Newtonian dynamics. </w:t>
      </w:r>
      <w:r w:rsidRPr="00E65496">
        <w:rPr>
          <w:rFonts w:ascii="Arial" w:hAnsi="Arial" w:cs="Arial"/>
          <w:i/>
          <w:iCs/>
          <w:sz w:val="24"/>
          <w:szCs w:val="24"/>
        </w:rPr>
        <w:t>Physical Review Letters</w:t>
      </w:r>
      <w:r w:rsidRPr="00E65496">
        <w:rPr>
          <w:rFonts w:ascii="Arial" w:hAnsi="Arial" w:cs="Arial"/>
          <w:sz w:val="24"/>
          <w:szCs w:val="24"/>
        </w:rPr>
        <w:t>, 123(23), 231101.</w:t>
      </w:r>
    </w:p>
    <w:p w14:paraId="32544461" w14:textId="77777777" w:rsidR="00A62083" w:rsidRPr="006901B8" w:rsidRDefault="00A62083" w:rsidP="008230BA">
      <w:pPr>
        <w:ind w:firstLineChars="200" w:firstLine="480"/>
        <w:rPr>
          <w:rFonts w:ascii="Arial" w:hAnsi="Arial" w:cs="Arial"/>
          <w:sz w:val="24"/>
          <w:szCs w:val="24"/>
        </w:rPr>
      </w:pPr>
    </w:p>
    <w:sectPr w:rsidR="00A62083" w:rsidRPr="006901B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2B400" w14:textId="77777777" w:rsidR="00D45D46" w:rsidRDefault="00D45D46" w:rsidP="00252CB3">
      <w:pPr>
        <w:rPr>
          <w:rFonts w:hint="eastAsia"/>
        </w:rPr>
      </w:pPr>
      <w:r>
        <w:separator/>
      </w:r>
    </w:p>
  </w:endnote>
  <w:endnote w:type="continuationSeparator" w:id="0">
    <w:p w14:paraId="68CE294B" w14:textId="77777777" w:rsidR="00D45D46" w:rsidRDefault="00D45D46" w:rsidP="00252CB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09DFD" w14:textId="77777777" w:rsidR="00D45D46" w:rsidRDefault="00D45D46" w:rsidP="00252CB3">
      <w:pPr>
        <w:rPr>
          <w:rFonts w:hint="eastAsia"/>
        </w:rPr>
      </w:pPr>
      <w:r>
        <w:separator/>
      </w:r>
    </w:p>
  </w:footnote>
  <w:footnote w:type="continuationSeparator" w:id="0">
    <w:p w14:paraId="357FF6BB" w14:textId="77777777" w:rsidR="00D45D46" w:rsidRDefault="00D45D46" w:rsidP="00252CB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106"/>
    <w:multiLevelType w:val="multilevel"/>
    <w:tmpl w:val="6B2CE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945F35"/>
    <w:multiLevelType w:val="multilevel"/>
    <w:tmpl w:val="91A88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2D30A2"/>
    <w:multiLevelType w:val="multilevel"/>
    <w:tmpl w:val="03DEB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0946E3"/>
    <w:multiLevelType w:val="multilevel"/>
    <w:tmpl w:val="75C6B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675AAC"/>
    <w:multiLevelType w:val="multilevel"/>
    <w:tmpl w:val="A0CC5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D43ADD"/>
    <w:multiLevelType w:val="multilevel"/>
    <w:tmpl w:val="E6CCD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165FF0"/>
    <w:multiLevelType w:val="multilevel"/>
    <w:tmpl w:val="6A0A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22307"/>
    <w:multiLevelType w:val="multilevel"/>
    <w:tmpl w:val="F4B8F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EF2543"/>
    <w:multiLevelType w:val="multilevel"/>
    <w:tmpl w:val="5CAA5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B301AD"/>
    <w:multiLevelType w:val="multilevel"/>
    <w:tmpl w:val="D178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02463F"/>
    <w:multiLevelType w:val="multilevel"/>
    <w:tmpl w:val="66FE8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F422C6"/>
    <w:multiLevelType w:val="multilevel"/>
    <w:tmpl w:val="9F168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331D7E"/>
    <w:multiLevelType w:val="multilevel"/>
    <w:tmpl w:val="2AD80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112ED4"/>
    <w:multiLevelType w:val="multilevel"/>
    <w:tmpl w:val="9362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C356F0"/>
    <w:multiLevelType w:val="multilevel"/>
    <w:tmpl w:val="E214B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026D98"/>
    <w:multiLevelType w:val="multilevel"/>
    <w:tmpl w:val="767CD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8562F2"/>
    <w:multiLevelType w:val="multilevel"/>
    <w:tmpl w:val="2E56E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F429A4"/>
    <w:multiLevelType w:val="multilevel"/>
    <w:tmpl w:val="4A60A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AB4878"/>
    <w:multiLevelType w:val="multilevel"/>
    <w:tmpl w:val="CEC63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3171BC"/>
    <w:multiLevelType w:val="multilevel"/>
    <w:tmpl w:val="08FC2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4B126E"/>
    <w:multiLevelType w:val="multilevel"/>
    <w:tmpl w:val="78DAD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2F29CD"/>
    <w:multiLevelType w:val="multilevel"/>
    <w:tmpl w:val="BC884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C02AD0"/>
    <w:multiLevelType w:val="multilevel"/>
    <w:tmpl w:val="53FA0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727302"/>
    <w:multiLevelType w:val="multilevel"/>
    <w:tmpl w:val="B374D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594191"/>
    <w:multiLevelType w:val="multilevel"/>
    <w:tmpl w:val="4A341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4A6697"/>
    <w:multiLevelType w:val="multilevel"/>
    <w:tmpl w:val="D64CE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805090"/>
    <w:multiLevelType w:val="multilevel"/>
    <w:tmpl w:val="E36A0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9039120">
    <w:abstractNumId w:val="3"/>
  </w:num>
  <w:num w:numId="2" w16cid:durableId="1361084260">
    <w:abstractNumId w:val="11"/>
  </w:num>
  <w:num w:numId="3" w16cid:durableId="524712087">
    <w:abstractNumId w:val="19"/>
  </w:num>
  <w:num w:numId="4" w16cid:durableId="968819287">
    <w:abstractNumId w:val="0"/>
  </w:num>
  <w:num w:numId="5" w16cid:durableId="1849438249">
    <w:abstractNumId w:val="18"/>
  </w:num>
  <w:num w:numId="6" w16cid:durableId="131557431">
    <w:abstractNumId w:val="17"/>
  </w:num>
  <w:num w:numId="7" w16cid:durableId="80759840">
    <w:abstractNumId w:val="2"/>
  </w:num>
  <w:num w:numId="8" w16cid:durableId="1925454822">
    <w:abstractNumId w:val="6"/>
  </w:num>
  <w:num w:numId="9" w16cid:durableId="100613414">
    <w:abstractNumId w:val="22"/>
  </w:num>
  <w:num w:numId="10" w16cid:durableId="73557459">
    <w:abstractNumId w:val="4"/>
  </w:num>
  <w:num w:numId="11" w16cid:durableId="133332705">
    <w:abstractNumId w:val="1"/>
  </w:num>
  <w:num w:numId="12" w16cid:durableId="405684489">
    <w:abstractNumId w:val="15"/>
  </w:num>
  <w:num w:numId="13" w16cid:durableId="1248347075">
    <w:abstractNumId w:val="8"/>
  </w:num>
  <w:num w:numId="14" w16cid:durableId="1498038322">
    <w:abstractNumId w:val="14"/>
  </w:num>
  <w:num w:numId="15" w16cid:durableId="1050496732">
    <w:abstractNumId w:val="26"/>
  </w:num>
  <w:num w:numId="16" w16cid:durableId="1916815147">
    <w:abstractNumId w:val="5"/>
  </w:num>
  <w:num w:numId="17" w16cid:durableId="1167480198">
    <w:abstractNumId w:val="16"/>
  </w:num>
  <w:num w:numId="18" w16cid:durableId="374014741">
    <w:abstractNumId w:val="13"/>
  </w:num>
  <w:num w:numId="19" w16cid:durableId="1834880025">
    <w:abstractNumId w:val="21"/>
  </w:num>
  <w:num w:numId="20" w16cid:durableId="1021127786">
    <w:abstractNumId w:val="12"/>
  </w:num>
  <w:num w:numId="21" w16cid:durableId="1104306996">
    <w:abstractNumId w:val="9"/>
  </w:num>
  <w:num w:numId="22" w16cid:durableId="1962105271">
    <w:abstractNumId w:val="25"/>
  </w:num>
  <w:num w:numId="23" w16cid:durableId="1215509151">
    <w:abstractNumId w:val="24"/>
  </w:num>
  <w:num w:numId="24" w16cid:durableId="1025711568">
    <w:abstractNumId w:val="10"/>
  </w:num>
  <w:num w:numId="25" w16cid:durableId="1681547077">
    <w:abstractNumId w:val="23"/>
  </w:num>
  <w:num w:numId="26" w16cid:durableId="1720130130">
    <w:abstractNumId w:val="7"/>
  </w:num>
  <w:num w:numId="27" w16cid:durableId="159679160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BFF"/>
    <w:rsid w:val="000F1333"/>
    <w:rsid w:val="002027E7"/>
    <w:rsid w:val="00233667"/>
    <w:rsid w:val="00237F42"/>
    <w:rsid w:val="00252CB3"/>
    <w:rsid w:val="00264E5F"/>
    <w:rsid w:val="00376D62"/>
    <w:rsid w:val="004C0441"/>
    <w:rsid w:val="004C75E7"/>
    <w:rsid w:val="006901B8"/>
    <w:rsid w:val="006A194F"/>
    <w:rsid w:val="008230BA"/>
    <w:rsid w:val="00852755"/>
    <w:rsid w:val="009029A1"/>
    <w:rsid w:val="009213A8"/>
    <w:rsid w:val="009F3B14"/>
    <w:rsid w:val="00A62083"/>
    <w:rsid w:val="00B17213"/>
    <w:rsid w:val="00C65BB4"/>
    <w:rsid w:val="00CF7BFF"/>
    <w:rsid w:val="00D45D46"/>
    <w:rsid w:val="00DD0A77"/>
    <w:rsid w:val="00E56217"/>
    <w:rsid w:val="00E65496"/>
    <w:rsid w:val="00EA7C05"/>
    <w:rsid w:val="00ED0384"/>
    <w:rsid w:val="00ED5E1D"/>
    <w:rsid w:val="00F603A8"/>
    <w:rsid w:val="00F64A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8EB28"/>
  <w15:chartTrackingRefBased/>
  <w15:docId w15:val="{587E8CAF-30B9-4179-A2F2-2EC1647B4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F7B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F7B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F7B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F7B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F7BF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F7BF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F7BF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F7BF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F7BF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F7B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F7B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F7B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F7BFF"/>
    <w:rPr>
      <w:rFonts w:cstheme="majorBidi"/>
      <w:color w:val="0F4761" w:themeColor="accent1" w:themeShade="BF"/>
      <w:sz w:val="28"/>
      <w:szCs w:val="28"/>
    </w:rPr>
  </w:style>
  <w:style w:type="character" w:customStyle="1" w:styleId="50">
    <w:name w:val="标题 5 字符"/>
    <w:basedOn w:val="a0"/>
    <w:link w:val="5"/>
    <w:uiPriority w:val="9"/>
    <w:semiHidden/>
    <w:rsid w:val="00CF7BFF"/>
    <w:rPr>
      <w:rFonts w:cstheme="majorBidi"/>
      <w:color w:val="0F4761" w:themeColor="accent1" w:themeShade="BF"/>
      <w:sz w:val="24"/>
      <w:szCs w:val="24"/>
    </w:rPr>
  </w:style>
  <w:style w:type="character" w:customStyle="1" w:styleId="60">
    <w:name w:val="标题 6 字符"/>
    <w:basedOn w:val="a0"/>
    <w:link w:val="6"/>
    <w:uiPriority w:val="9"/>
    <w:semiHidden/>
    <w:rsid w:val="00CF7BFF"/>
    <w:rPr>
      <w:rFonts w:cstheme="majorBidi"/>
      <w:b/>
      <w:bCs/>
      <w:color w:val="0F4761" w:themeColor="accent1" w:themeShade="BF"/>
    </w:rPr>
  </w:style>
  <w:style w:type="character" w:customStyle="1" w:styleId="70">
    <w:name w:val="标题 7 字符"/>
    <w:basedOn w:val="a0"/>
    <w:link w:val="7"/>
    <w:uiPriority w:val="9"/>
    <w:semiHidden/>
    <w:rsid w:val="00CF7BFF"/>
    <w:rPr>
      <w:rFonts w:cstheme="majorBidi"/>
      <w:b/>
      <w:bCs/>
      <w:color w:val="595959" w:themeColor="text1" w:themeTint="A6"/>
    </w:rPr>
  </w:style>
  <w:style w:type="character" w:customStyle="1" w:styleId="80">
    <w:name w:val="标题 8 字符"/>
    <w:basedOn w:val="a0"/>
    <w:link w:val="8"/>
    <w:uiPriority w:val="9"/>
    <w:semiHidden/>
    <w:rsid w:val="00CF7BFF"/>
    <w:rPr>
      <w:rFonts w:cstheme="majorBidi"/>
      <w:color w:val="595959" w:themeColor="text1" w:themeTint="A6"/>
    </w:rPr>
  </w:style>
  <w:style w:type="character" w:customStyle="1" w:styleId="90">
    <w:name w:val="标题 9 字符"/>
    <w:basedOn w:val="a0"/>
    <w:link w:val="9"/>
    <w:uiPriority w:val="9"/>
    <w:semiHidden/>
    <w:rsid w:val="00CF7BFF"/>
    <w:rPr>
      <w:rFonts w:eastAsiaTheme="majorEastAsia" w:cstheme="majorBidi"/>
      <w:color w:val="595959" w:themeColor="text1" w:themeTint="A6"/>
    </w:rPr>
  </w:style>
  <w:style w:type="paragraph" w:styleId="a3">
    <w:name w:val="Title"/>
    <w:basedOn w:val="a"/>
    <w:next w:val="a"/>
    <w:link w:val="a4"/>
    <w:uiPriority w:val="10"/>
    <w:qFormat/>
    <w:rsid w:val="00CF7BF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F7B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7BF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F7B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F7BFF"/>
    <w:pPr>
      <w:spacing w:before="160" w:after="160"/>
      <w:jc w:val="center"/>
    </w:pPr>
    <w:rPr>
      <w:i/>
      <w:iCs/>
      <w:color w:val="404040" w:themeColor="text1" w:themeTint="BF"/>
    </w:rPr>
  </w:style>
  <w:style w:type="character" w:customStyle="1" w:styleId="a8">
    <w:name w:val="引用 字符"/>
    <w:basedOn w:val="a0"/>
    <w:link w:val="a7"/>
    <w:uiPriority w:val="29"/>
    <w:rsid w:val="00CF7BFF"/>
    <w:rPr>
      <w:i/>
      <w:iCs/>
      <w:color w:val="404040" w:themeColor="text1" w:themeTint="BF"/>
    </w:rPr>
  </w:style>
  <w:style w:type="paragraph" w:styleId="a9">
    <w:name w:val="List Paragraph"/>
    <w:basedOn w:val="a"/>
    <w:uiPriority w:val="34"/>
    <w:qFormat/>
    <w:rsid w:val="00CF7BFF"/>
    <w:pPr>
      <w:ind w:left="720"/>
      <w:contextualSpacing/>
    </w:pPr>
  </w:style>
  <w:style w:type="character" w:styleId="aa">
    <w:name w:val="Intense Emphasis"/>
    <w:basedOn w:val="a0"/>
    <w:uiPriority w:val="21"/>
    <w:qFormat/>
    <w:rsid w:val="00CF7BFF"/>
    <w:rPr>
      <w:i/>
      <w:iCs/>
      <w:color w:val="0F4761" w:themeColor="accent1" w:themeShade="BF"/>
    </w:rPr>
  </w:style>
  <w:style w:type="paragraph" w:styleId="ab">
    <w:name w:val="Intense Quote"/>
    <w:basedOn w:val="a"/>
    <w:next w:val="a"/>
    <w:link w:val="ac"/>
    <w:uiPriority w:val="30"/>
    <w:qFormat/>
    <w:rsid w:val="00CF7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F7BFF"/>
    <w:rPr>
      <w:i/>
      <w:iCs/>
      <w:color w:val="0F4761" w:themeColor="accent1" w:themeShade="BF"/>
    </w:rPr>
  </w:style>
  <w:style w:type="character" w:styleId="ad">
    <w:name w:val="Intense Reference"/>
    <w:basedOn w:val="a0"/>
    <w:uiPriority w:val="32"/>
    <w:qFormat/>
    <w:rsid w:val="00CF7BFF"/>
    <w:rPr>
      <w:b/>
      <w:bCs/>
      <w:smallCaps/>
      <w:color w:val="0F4761" w:themeColor="accent1" w:themeShade="BF"/>
      <w:spacing w:val="5"/>
    </w:rPr>
  </w:style>
  <w:style w:type="paragraph" w:styleId="ae">
    <w:name w:val="header"/>
    <w:basedOn w:val="a"/>
    <w:link w:val="af"/>
    <w:uiPriority w:val="99"/>
    <w:unhideWhenUsed/>
    <w:rsid w:val="00252CB3"/>
    <w:pPr>
      <w:tabs>
        <w:tab w:val="center" w:pos="4153"/>
        <w:tab w:val="right" w:pos="8306"/>
      </w:tabs>
      <w:snapToGrid w:val="0"/>
      <w:jc w:val="center"/>
    </w:pPr>
    <w:rPr>
      <w:sz w:val="18"/>
      <w:szCs w:val="18"/>
    </w:rPr>
  </w:style>
  <w:style w:type="character" w:customStyle="1" w:styleId="af">
    <w:name w:val="页眉 字符"/>
    <w:basedOn w:val="a0"/>
    <w:link w:val="ae"/>
    <w:uiPriority w:val="99"/>
    <w:rsid w:val="00252CB3"/>
    <w:rPr>
      <w:sz w:val="18"/>
      <w:szCs w:val="18"/>
    </w:rPr>
  </w:style>
  <w:style w:type="paragraph" w:styleId="af0">
    <w:name w:val="footer"/>
    <w:basedOn w:val="a"/>
    <w:link w:val="af1"/>
    <w:uiPriority w:val="99"/>
    <w:unhideWhenUsed/>
    <w:rsid w:val="00252CB3"/>
    <w:pPr>
      <w:tabs>
        <w:tab w:val="center" w:pos="4153"/>
        <w:tab w:val="right" w:pos="8306"/>
      </w:tabs>
      <w:snapToGrid w:val="0"/>
      <w:jc w:val="left"/>
    </w:pPr>
    <w:rPr>
      <w:sz w:val="18"/>
      <w:szCs w:val="18"/>
    </w:rPr>
  </w:style>
  <w:style w:type="character" w:customStyle="1" w:styleId="af1">
    <w:name w:val="页脚 字符"/>
    <w:basedOn w:val="a0"/>
    <w:link w:val="af0"/>
    <w:uiPriority w:val="99"/>
    <w:rsid w:val="00252CB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4798</Words>
  <Characters>27351</Characters>
  <Application>Microsoft Office Word</Application>
  <DocSecurity>0</DocSecurity>
  <Lines>227</Lines>
  <Paragraphs>64</Paragraphs>
  <ScaleCrop>false</ScaleCrop>
  <Company/>
  <LinksUpToDate>false</LinksUpToDate>
  <CharactersWithSpaces>32085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19</cp:revision>
  <dcterms:created xsi:type="dcterms:W3CDTF">2026-05-22T10:44:00Z</dcterms:created>
  <dcterms:modified xsi:type="dcterms:W3CDTF">2026-05-24T00:35:00Z</dcterms:modified>
</cp:coreProperties>
</file>