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 Light" w:hAnsi="Calibri Light"/>
          <w:b/>
          <w:color w:val="1A365D"/>
          <w:sz w:val="52"/>
        </w:rPr>
        <w:t>SELVAKUMAR JAYAKRISHNAN</w:t>
      </w:r>
    </w:p>
    <w:p>
      <w:pPr>
        <w:spacing w:after="160"/>
        <w:jc w:val="center"/>
      </w:pPr>
      <w:r>
        <w:rPr>
          <w:rFonts w:ascii="Calibri" w:hAnsi="Calibri"/>
          <w:color w:val="C9A227"/>
          <w:sz w:val="22"/>
        </w:rPr>
        <w:t>CHANGE MANAGEMENT LEADER | TECHNOLOGY ENABLEMENT | ADAPTIVE LEADERSHIP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20"/>
        </w:rPr>
        <w:t>+91 90360 00220  |  selvakumar.jayakrishnan@hotmail.com  |  linkedin.com/in/passionateselva</w:t>
      </w:r>
    </w:p>
    <w:p>
      <w:pPr>
        <w:spacing w:after="120"/>
      </w:pPr>
      <w:r>
        <w:rPr>
          <w:color w:val="C9A227"/>
          <w:sz w:val="16"/>
        </w:rPr>
        <w:t>_____________________________________________________________________________________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PROFESSIONAL SUMMARY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160" w:line="276" w:lineRule="auto"/>
      </w:pPr>
      <w:r>
        <w:rPr>
          <w:rFonts w:ascii="Calibri" w:hAnsi="Calibri"/>
          <w:color w:val="1A202C"/>
          <w:sz w:val="21"/>
        </w:rPr>
        <w:t>Results-driven Change Management Leader with 19+ years of experience driving organizational transformation, technology enablement, and cross-functional stakeholder management across global markets (EMEA, APJ, Americas). Proven expertise in deploying enterprise-scale solutions impacting 12,000+ users, delivering $3M+ in revenue through strategic change initiatives. Adept at leading ADKAR-based change management frameworks, UAT facilitation, and IT readiness programs for Fortune 500 organizations. Recognized for exceptional leadership, analytical problem-solving, and delivering measurable business outcomes.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CORE COMPETENCIES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120"/>
      </w:pPr>
      <w:r>
        <w:rPr>
          <w:color w:val="1A202C"/>
          <w:sz w:val="20"/>
        </w:rPr>
        <w:t>■ Change Management (ADKAR)</w:t>
      </w:r>
      <w:r>
        <w:rPr>
          <w:sz w:val="16"/>
        </w:rPr>
        <w:t xml:space="preserve">    </w:t>
      </w:r>
      <w:r>
        <w:rPr>
          <w:color w:val="1A202C"/>
          <w:sz w:val="20"/>
        </w:rPr>
        <w:t>■ Stakeholder Engagement</w:t>
      </w:r>
      <w:r>
        <w:rPr>
          <w:sz w:val="16"/>
        </w:rPr>
        <w:t xml:space="preserve">    </w:t>
      </w:r>
      <w:r>
        <w:rPr>
          <w:color w:val="1A202C"/>
          <w:sz w:val="20"/>
        </w:rPr>
        <w:t>■ Technology Enablement</w:t>
      </w:r>
      <w:r>
        <w:rPr>
          <w:sz w:val="16"/>
        </w:rPr>
        <w:t xml:space="preserve">    </w:t>
      </w:r>
    </w:p>
    <w:p>
      <w:pPr>
        <w:spacing w:after="80"/>
      </w:pPr>
      <w:r>
        <w:rPr>
          <w:color w:val="1A202C"/>
          <w:sz w:val="20"/>
        </w:rPr>
        <w:t>■ Project &amp; Program Management</w:t>
      </w:r>
      <w:r>
        <w:rPr>
          <w:sz w:val="16"/>
        </w:rPr>
        <w:t xml:space="preserve">    </w:t>
      </w:r>
      <w:r>
        <w:rPr>
          <w:color w:val="1A202C"/>
          <w:sz w:val="20"/>
        </w:rPr>
        <w:t>■ UAT &amp; Testing Facilitation</w:t>
      </w:r>
      <w:r>
        <w:rPr>
          <w:sz w:val="16"/>
        </w:rPr>
        <w:t xml:space="preserve">    </w:t>
      </w:r>
      <w:r>
        <w:rPr>
          <w:color w:val="1A202C"/>
          <w:sz w:val="20"/>
        </w:rPr>
        <w:t>■ IT Readiness &amp; Deployment</w:t>
      </w:r>
      <w:r>
        <w:rPr>
          <w:sz w:val="16"/>
        </w:rPr>
        <w:t xml:space="preserve">    </w:t>
      </w:r>
    </w:p>
    <w:p>
      <w:pPr>
        <w:spacing w:after="80"/>
      </w:pPr>
      <w:r>
        <w:rPr>
          <w:color w:val="1A202C"/>
          <w:sz w:val="20"/>
        </w:rPr>
        <w:t>■ Cross-Functional Leadership</w:t>
      </w:r>
      <w:r>
        <w:rPr>
          <w:sz w:val="16"/>
        </w:rPr>
        <w:t xml:space="preserve">    </w:t>
      </w:r>
      <w:r>
        <w:rPr>
          <w:color w:val="1A202C"/>
          <w:sz w:val="20"/>
        </w:rPr>
        <w:t>■ Process Optimization</w:t>
      </w:r>
      <w:r>
        <w:rPr>
          <w:sz w:val="16"/>
        </w:rPr>
        <w:t xml:space="preserve">    </w:t>
      </w:r>
      <w:r>
        <w:rPr>
          <w:color w:val="1A202C"/>
          <w:sz w:val="20"/>
        </w:rPr>
        <w:t>■ Global Team Management</w:t>
      </w:r>
      <w:r>
        <w:rPr>
          <w:sz w:val="16"/>
        </w:rPr>
        <w:t xml:space="preserve">    </w:t>
      </w:r>
    </w:p>
    <w:p>
      <w:pPr>
        <w:spacing w:after="80"/>
      </w:pPr>
      <w:r>
        <w:rPr>
          <w:color w:val="1A202C"/>
          <w:sz w:val="20"/>
        </w:rPr>
        <w:t>■ Salesforce CRM</w:t>
      </w:r>
      <w:r>
        <w:rPr>
          <w:sz w:val="16"/>
        </w:rPr>
        <w:t xml:space="preserve">    </w:t>
      </w:r>
      <w:r>
        <w:rPr>
          <w:color w:val="1A202C"/>
          <w:sz w:val="20"/>
        </w:rPr>
        <w:t>■ VDI &amp; Virtual Apps</w:t>
      </w:r>
      <w:r>
        <w:rPr>
          <w:sz w:val="16"/>
        </w:rPr>
        <w:t xml:space="preserve">    </w:t>
      </w:r>
      <w:r>
        <w:rPr>
          <w:color w:val="1A202C"/>
          <w:sz w:val="20"/>
        </w:rPr>
        <w:t>■ Business Analysis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PROFESSIONAL EXPERIENCE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Consultant, Project Program Management (Change Management Lead)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Dell Technologies | Bengaluru, India | April 2021 - September 2025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Led Change Management initiatives for technology enablement programs impacting 12,000+ CSG Support users across Salesforce CRM, Virtual Apps &amp; VDI (Citrix, VMware Horizon)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Deployed AI-Validated Service Orders as Change &amp; Capability Lead using ADKAR model, enabling Customer Self-Service &amp; Exception Management - Received Game Changer Award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Enabled Customer Self-Scheduling, Real-Time Parts Arrival Time, and Backlog Availability for 12K Technical Contact Center &amp; Field Service Engineers - Received Game Changer Award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Successfully led Horizon Version 8 upgrade, contributing to 30% reduction in single-user issues within 6 months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Ensured Salesforce Lightning accessibility at Partner offices via secured whitelisting processes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Sr Advisor, Partner Management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Dell Technologies | Bengaluru, India | June 2017 - April 2021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Led Change Management for ~5,000 Dell Tech Support Partner Agents across 36 global sites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Enabled RSA SecurID across 29 DT Services Partner sites for ~6,000 users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Delivered SFDC Partner IT Enablement &amp; Optimizations for 5,500+ TS Partner Users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Migrated 7,000 Partner users from Citrix to Horizon vApps across 29 sites globally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Implemented Work From Home solutions for ~6,000 Tech Support Partner users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Received Game Changer Award for successfully leading projects with minimal disruption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Project Program Management Advisor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Dell Technologies | Bengaluru, India | August 2014 - June 2017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Managed RTB (Run The Business) &amp; CTB (Change The Business) requests ensuring maximum tool uptime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Served as Single Point of Contact for tool enhancements, IT updates for 10K+ business users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Facilitated and led UAT for upcoming tool patches &amp; releases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Achieved 30% reduction in outsourced partner payments by reducing SPAM from 36% to 1% - Silver Award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Received Gold Award for resolving 3 critical tools deployment challenges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IT Enabled Operations Supervisor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Dell Technologies | Chennai, India | April 2011 - July 2014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Successfully assisted in onboarding 10 projects across 6 practices worth $2.1 Million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Managed 49 FTEs directly &amp; 66 FTEs indirectly as SPOC for 115 FTE program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Awarded Tell Dell Rock Star three times (2011, 2012, 2013)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Associate Process Manager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eClerx | Pune, India | April 2009 - March 2011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Managed 19 FTEs directly and 5 FTEs indirectly for 2 years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Led daily operations for Brand Input/Content Maintenance, Global Web Store Audits, XML Feeds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Senior Analyst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eClerx | Mumbai, India | October 2007 - March 2009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Led team of 10 FTEs supporting product configuration maintenance for world's largest PC manufacturer</w:t>
      </w:r>
    </w:p>
    <w:p>
      <w:pPr>
        <w:spacing w:before="200" w:after="40"/>
      </w:pPr>
      <w:r>
        <w:rPr>
          <w:rFonts w:ascii="Calibri" w:hAnsi="Calibri"/>
          <w:b/>
          <w:color w:val="2C5282"/>
          <w:sz w:val="22"/>
        </w:rPr>
        <w:t>Analyst</w:t>
      </w:r>
    </w:p>
    <w:p>
      <w:pPr>
        <w:spacing w:after="80"/>
      </w:pPr>
      <w:r>
        <w:rPr>
          <w:rFonts w:ascii="Calibri" w:hAnsi="Calibri"/>
          <w:i/>
          <w:color w:val="4A5568"/>
          <w:sz w:val="20"/>
        </w:rPr>
        <w:t>eClerx | Mumbai, India | October 2006 - September 2007</w:t>
      </w:r>
    </w:p>
    <w:p>
      <w:pPr>
        <w:spacing w:after="40"/>
        <w:ind w:left="360"/>
      </w:pPr>
      <w:r>
        <w:rPr>
          <w:color w:val="C9A227"/>
          <w:sz w:val="20"/>
        </w:rPr>
        <w:t xml:space="preserve">• </w:t>
      </w:r>
      <w:r>
        <w:rPr>
          <w:rFonts w:ascii="Calibri" w:hAnsi="Calibri"/>
          <w:color w:val="1A202C"/>
          <w:sz w:val="20"/>
        </w:rPr>
        <w:t>Maintained System Configurations in Database across all product categories for MARCOM operations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EDUCATION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before="80" w:after="40"/>
      </w:pPr>
      <w:r>
        <w:rPr>
          <w:b/>
          <w:color w:val="1A202C"/>
          <w:sz w:val="21"/>
        </w:rPr>
        <w:t>Bachelor's Degree in Physics</w:t>
      </w:r>
      <w:r>
        <w:rPr>
          <w:color w:val="4A5568"/>
          <w:sz w:val="20"/>
        </w:rPr>
        <w:t xml:space="preserve">  |  Mumbai University  |  2003 - 2006</w:t>
      </w:r>
    </w:p>
    <w:p>
      <w:pPr>
        <w:spacing w:before="80" w:after="40"/>
      </w:pPr>
      <w:r>
        <w:rPr>
          <w:b/>
          <w:color w:val="1A202C"/>
          <w:sz w:val="21"/>
        </w:rPr>
        <w:t>Diploma in Computer Hardware &amp; Networking</w:t>
      </w:r>
      <w:r>
        <w:rPr>
          <w:color w:val="4A5568"/>
          <w:sz w:val="20"/>
        </w:rPr>
        <w:t xml:space="preserve">  |  YCMOU  |  2003 - 2005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CERTIFICATIONS &amp; TRAINING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40"/>
        <w:ind w:left="216"/>
      </w:pPr>
      <w:r>
        <w:rPr>
          <w:color w:val="C9A227"/>
          <w:sz w:val="20"/>
        </w:rPr>
        <w:t xml:space="preserve">✓ </w:t>
      </w:r>
      <w:r>
        <w:rPr>
          <w:color w:val="1A202C"/>
          <w:sz w:val="20"/>
        </w:rPr>
        <w:t>Organization Change Management - 12 PDUs, PMI PMP</w:t>
      </w:r>
    </w:p>
    <w:p>
      <w:pPr>
        <w:spacing w:after="40"/>
        <w:ind w:left="216"/>
      </w:pPr>
      <w:r>
        <w:rPr>
          <w:color w:val="C9A227"/>
          <w:sz w:val="20"/>
        </w:rPr>
        <w:t xml:space="preserve">✓ </w:t>
      </w:r>
      <w:r>
        <w:rPr>
          <w:color w:val="1A202C"/>
          <w:sz w:val="20"/>
        </w:rPr>
        <w:t>Brand Certification</w:t>
      </w:r>
    </w:p>
    <w:p>
      <w:pPr>
        <w:spacing w:after="40"/>
        <w:ind w:left="216"/>
      </w:pPr>
      <w:r>
        <w:rPr>
          <w:color w:val="C9A227"/>
          <w:sz w:val="20"/>
        </w:rPr>
        <w:t xml:space="preserve">✓ </w:t>
      </w:r>
      <w:r>
        <w:rPr>
          <w:color w:val="1A202C"/>
          <w:sz w:val="20"/>
        </w:rPr>
        <w:t>Social Media and Community Professional</w:t>
      </w:r>
    </w:p>
    <w:p>
      <w:pPr>
        <w:spacing w:after="40"/>
        <w:ind w:left="216"/>
      </w:pPr>
      <w:r>
        <w:rPr>
          <w:color w:val="C9A227"/>
          <w:sz w:val="20"/>
        </w:rPr>
        <w:t xml:space="preserve">✓ </w:t>
      </w:r>
      <w:r>
        <w:rPr>
          <w:color w:val="1A202C"/>
          <w:sz w:val="20"/>
        </w:rPr>
        <w:t>Search Certification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AWARDS &amp; RECOGNITION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40"/>
        <w:ind w:left="216"/>
      </w:pPr>
      <w:r>
        <w:rPr>
          <w:b/>
          <w:color w:val="2C5282"/>
          <w:sz w:val="20"/>
        </w:rPr>
        <w:t xml:space="preserve">Game Changer Award (2x): </w:t>
      </w:r>
      <w:r>
        <w:rPr>
          <w:color w:val="1A202C"/>
          <w:sz w:val="20"/>
        </w:rPr>
        <w:t>Dell Technologies - For AI Service Orders and Customer Self-Scheduling</w:t>
      </w:r>
    </w:p>
    <w:p>
      <w:pPr>
        <w:spacing w:after="40"/>
        <w:ind w:left="216"/>
      </w:pPr>
      <w:r>
        <w:rPr>
          <w:b/>
          <w:color w:val="2C5282"/>
          <w:sz w:val="20"/>
        </w:rPr>
        <w:t xml:space="preserve">Gold Award: </w:t>
      </w:r>
      <w:r>
        <w:rPr>
          <w:color w:val="1A202C"/>
          <w:sz w:val="20"/>
        </w:rPr>
        <w:t>Dell Technologies - Critical role in resolving tools deployment challenges</w:t>
      </w:r>
    </w:p>
    <w:p>
      <w:pPr>
        <w:spacing w:after="40"/>
        <w:ind w:left="216"/>
      </w:pPr>
      <w:r>
        <w:rPr>
          <w:b/>
          <w:color w:val="2C5282"/>
          <w:sz w:val="20"/>
        </w:rPr>
        <w:t xml:space="preserve">Silver Award (2x): </w:t>
      </w:r>
      <w:r>
        <w:rPr>
          <w:color w:val="1A202C"/>
          <w:sz w:val="20"/>
        </w:rPr>
        <w:t>Dell Technologies - SPAM reduction and operational excellence</w:t>
      </w:r>
    </w:p>
    <w:p>
      <w:pPr>
        <w:spacing w:after="40"/>
        <w:ind w:left="216"/>
      </w:pPr>
      <w:r>
        <w:rPr>
          <w:b/>
          <w:color w:val="2C5282"/>
          <w:sz w:val="20"/>
        </w:rPr>
        <w:t xml:space="preserve">Tell Dell Rock Star (3x): </w:t>
      </w:r>
      <w:r>
        <w:rPr>
          <w:color w:val="1A202C"/>
          <w:sz w:val="20"/>
        </w:rPr>
        <w:t>Dell Technologies - 2011, 2012, 2013</w:t>
      </w:r>
    </w:p>
    <w:p>
      <w:pPr>
        <w:spacing w:after="40"/>
        <w:ind w:left="216"/>
      </w:pPr>
      <w:r>
        <w:rPr>
          <w:b/>
          <w:color w:val="2C5282"/>
          <w:sz w:val="20"/>
        </w:rPr>
        <w:t xml:space="preserve">FY15 Services ACE Champion: </w:t>
      </w:r>
      <w:r>
        <w:rPr>
          <w:color w:val="1A202C"/>
          <w:sz w:val="20"/>
        </w:rPr>
        <w:t>Dell Technologies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TECHNICAL PROFICIENCIES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80"/>
      </w:pPr>
      <w:r>
        <w:rPr>
          <w:b/>
          <w:color w:val="2C5282"/>
          <w:sz w:val="20"/>
        </w:rPr>
        <w:t xml:space="preserve">CRM Platforms: </w:t>
      </w:r>
      <w:r>
        <w:rPr>
          <w:sz w:val="20"/>
        </w:rPr>
        <w:t xml:space="preserve">Salesforce, Oracle CRM    </w:t>
      </w:r>
      <w:r>
        <w:rPr>
          <w:b/>
          <w:color w:val="2C5282"/>
          <w:sz w:val="20"/>
        </w:rPr>
        <w:t xml:space="preserve">Virtualization: </w:t>
      </w:r>
      <w:r>
        <w:rPr>
          <w:sz w:val="20"/>
        </w:rPr>
        <w:t>Citrix, VMware Horizon, VDI</w:t>
      </w:r>
    </w:p>
    <w:p>
      <w:pPr>
        <w:spacing w:after="80"/>
      </w:pPr>
      <w:r>
        <w:rPr>
          <w:b/>
          <w:color w:val="2C5282"/>
          <w:sz w:val="20"/>
        </w:rPr>
        <w:t xml:space="preserve">Security: </w:t>
      </w:r>
      <w:r>
        <w:rPr>
          <w:sz w:val="20"/>
        </w:rPr>
        <w:t xml:space="preserve">RSA SecurID, MFA, Account Management    </w:t>
      </w:r>
      <w:r>
        <w:rPr>
          <w:b/>
          <w:color w:val="2C5282"/>
          <w:sz w:val="20"/>
        </w:rPr>
        <w:t xml:space="preserve">Methodologies: </w:t>
      </w:r>
      <w:r>
        <w:rPr>
          <w:sz w:val="20"/>
        </w:rPr>
        <w:t>ADKAR, Change Management, UAT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4"/>
        </w:rPr>
        <w:t>LANGUAGES</w:t>
      </w:r>
    </w:p>
    <w:p>
      <w:pPr>
        <w:spacing w:after="120"/>
      </w:pPr>
      <w:r>
        <w:rPr>
          <w:color w:val="C9A227"/>
          <w:sz w:val="12"/>
        </w:rPr>
        <w:t>_________________________</w:t>
      </w:r>
    </w:p>
    <w:p>
      <w:pPr>
        <w:spacing w:after="40"/>
        <w:ind w:left="216"/>
      </w:pPr>
      <w:r>
        <w:rPr>
          <w:b/>
          <w:color w:val="1A202C"/>
          <w:sz w:val="20"/>
        </w:rPr>
        <w:t xml:space="preserve">English: </w:t>
      </w:r>
      <w:r>
        <w:rPr>
          <w:color w:val="4A5568"/>
          <w:sz w:val="20"/>
        </w:rPr>
        <w:t>Full Professional Proficiency</w:t>
      </w:r>
    </w:p>
    <w:p>
      <w:pPr>
        <w:spacing w:after="40"/>
        <w:ind w:left="216"/>
      </w:pPr>
      <w:r>
        <w:rPr>
          <w:b/>
          <w:color w:val="1A202C"/>
          <w:sz w:val="20"/>
        </w:rPr>
        <w:t xml:space="preserve">Tamil: </w:t>
      </w:r>
      <w:r>
        <w:rPr>
          <w:color w:val="4A5568"/>
          <w:sz w:val="20"/>
        </w:rPr>
        <w:t>Native/Bilingual Proficiency</w:t>
      </w:r>
    </w:p>
    <w:p>
      <w:pPr>
        <w:spacing w:after="40"/>
        <w:ind w:left="216"/>
      </w:pPr>
      <w:r>
        <w:rPr>
          <w:b/>
          <w:color w:val="1A202C"/>
          <w:sz w:val="20"/>
        </w:rPr>
        <w:t xml:space="preserve">Hindi: </w:t>
      </w:r>
      <w:r>
        <w:rPr>
          <w:color w:val="4A5568"/>
          <w:sz w:val="20"/>
        </w:rPr>
        <w:t>Full Professional Proficiency</w:t>
      </w:r>
    </w:p>
    <w:p>
      <w:pPr>
        <w:spacing w:after="40"/>
        <w:ind w:left="216"/>
      </w:pPr>
      <w:r>
        <w:rPr>
          <w:b/>
          <w:color w:val="1A202C"/>
          <w:sz w:val="20"/>
        </w:rPr>
        <w:t xml:space="preserve">Marathi: </w:t>
      </w:r>
      <w:r>
        <w:rPr>
          <w:color w:val="4A5568"/>
          <w:sz w:val="20"/>
        </w:rPr>
        <w:t>Limited Working Proficiency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