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Caso d’uso:</w:t>
      </w:r>
      <w:r>
        <w:rPr>
          <w:rFonts w:cs="Calibri"/>
        </w:rPr>
        <w:t xml:space="preserve"> UC12 – </w:t>
      </w:r>
      <w:r>
        <w:rPr>
          <w:rFonts w:cs="Calibri"/>
          <w:color w:val="000000"/>
        </w:rPr>
        <w:t>Termina la partita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Portata:</w:t>
      </w:r>
      <w:r>
        <w:rPr>
          <w:rFonts w:cs="Calibri"/>
        </w:rPr>
        <w:t xml:space="preserve"> Monopoly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Livello:</w:t>
      </w:r>
      <w:r>
        <w:rPr>
          <w:rFonts w:cs="Calibri"/>
        </w:rPr>
        <w:t xml:space="preserve"> Sottofunzione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Attore primario:</w:t>
      </w:r>
      <w:r>
        <w:rPr>
          <w:rFonts w:cs="Calibri"/>
        </w:rPr>
        <w:t xml:space="preserve"> Giocatore 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 xml:space="preserve">Parti interessate e interessi: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14" w:right="0" w:hanging="357"/>
        <w:jc w:val="both"/>
        <w:rPr>
          <w:rFonts w:cs="Calibri"/>
        </w:rPr>
      </w:pPr>
      <w:r>
        <w:rPr>
          <w:rFonts w:cs="Calibri"/>
        </w:rPr>
        <w:t>Giocatore: ha interesse a tornare al menu principale.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Pre-condizioni:</w:t>
      </w:r>
      <w:r>
        <w:rPr>
          <w:rFonts w:cs="Calibri"/>
        </w:rPr>
        <w:t xml:space="preserve"> Il Giocatore è in fallimento </w:t>
      </w:r>
      <w:r>
        <w:rPr>
          <w:rFonts w:cs="Calibri"/>
          <w:u w:val="single"/>
        </w:rPr>
        <w:t>UC18 - Fallimento del giocatore</w:t>
      </w:r>
      <w:r>
        <w:rPr>
          <w:rFonts w:cs="Calibri"/>
        </w:rPr>
        <w:t xml:space="preserve"> o ha premuto il tasto “Esci dalla partita </w:t>
      </w:r>
      <w:r>
        <w:rPr>
          <w:rFonts w:cs="Calibri"/>
          <w:u w:val="single"/>
        </w:rPr>
        <w:t>UC14 - Esci dalla partita</w:t>
      </w:r>
      <w:r>
        <w:rPr>
          <w:rFonts w:cs="Calibri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Garanzia di successo:</w:t>
      </w:r>
      <w:r>
        <w:rPr>
          <w:rFonts w:cs="Calibri"/>
        </w:rPr>
        <w:t xml:space="preserve"> Il Giocatore torna al menu iniziale, in quanto il suo gioco è finito.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>Scenario principale di successo: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caso d'uso inizia quando il Giocatore è in fallimento o ha premuto il tasto “Esci dalla partita”.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azzera il credito del Giocatore.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rende le proprietà del Giocatore libere.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bookmarkStart w:id="0" w:name="_Hlk40611126"/>
      <w:r>
        <w:rPr>
          <w:rFonts w:cs="Calibri"/>
        </w:rPr>
        <w:t xml:space="preserve">Il </w:t>
      </w:r>
      <w:bookmarkEnd w:id="0"/>
      <w:r>
        <w:rPr>
          <w:rFonts w:cs="Calibri"/>
        </w:rPr>
        <w:t>sistema elimina la pedina del Giocatore.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mostra a schermo del Giocatore il menu principale.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Frequenza di ripetizione:</w:t>
      </w:r>
      <w:r>
        <w:rPr>
          <w:rFonts w:cs="Calibri"/>
        </w:rPr>
        <w:t xml:space="preserve"> Il caso d’uso viene eseguito ogni volta che il Giocatore è in fallimento o ha premuto il tasto “Esci dalla partita”.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sz w:val="22"/>
        <w:szCs w:val="22"/>
        <w:lang w:val="it-IT" w:eastAsia="en-US" w:bidi="ar-SA"/>
      </w:rPr>
    </w:rPrDefault>
    <w:pPrDefault>
      <w:pPr>
        <w:suppressAutoHyphens w:val="true"/>
        <w:spacing w:lineRule="auto" w:line="259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0"/>
    </w:pPr>
    <w:rPr>
      <w:rFonts w:ascii="Calibri" w:hAnsi="Calibri" w:eastAsia="SimSun"/>
      <w:color w:val="auto"/>
      <w:sz w:val="22"/>
      <w:szCs w:val="22"/>
      <w:lang w:val="it-I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WithSpaces>906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2020-12-30T10:00:00Z</dcterms:created>
  <dc:creator>A</dc:creator>
  <dc:description/>
  <dc:language>en-US</dc:language>
  <cp:lastModifiedBy>Ernesto Galluz</cp:lastModifiedBy>
  <dcterms:modified xsi:type="dcterms:W3CDTF">2021-01-30T15:52:09Z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