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anchor paragraph.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Budget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Region</w:t>
            </w:r>
          </w:p>
        </w:tc>
        <w:tc>
          <w:tcPr>
            <w:tcW w:type="dxa" w:w="4320"/>
          </w:tcPr>
          <w:p>
            <w:r>
              <w:t>Status</w:t>
            </w:r>
          </w:p>
        </w:tc>
      </w:tr>
      <w:tr>
        <w:tc>
          <w:tcPr>
            <w:tcW w:type="dxa" w:w="4320"/>
          </w:tcPr>
          <w:p>
            <w:r>
              <w:t>West</w:t>
            </w:r>
          </w:p>
        </w:tc>
        <w:tc>
          <w:tcPr>
            <w:tcW w:type="dxa" w:w="4320"/>
          </w:tcPr>
          <w:p>
            <w:r>
              <w:t>Ready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