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  <w:sz w:val="46"/>
        </w:rPr>
        <w:t xml:space="preserve">PROPERTY VALUATION SYSTEM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i/>
          <w:color w:val="000000" w:themeColor="text1"/>
          <w:sz w:val="22"/>
        </w:rPr>
        <w:t xml:space="preserve">MVP Demonstration - Valuation Workflow &amp; Calculation Logic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Purpose: Demonstrate to a branch manager how the application converts verified property information and valuation inputs into an auditable land value, building value, and final property value.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1. Application Flow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Stage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What happens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1. Property Intake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Capture location, land area, property characteristics, building information and supporting documents.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2. Land Valuation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Use government, market/commercial and distressed inputs; apply the report's weighting methodology; determine an adopted land rate.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3. Building Valuation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Calculate construction cost from building area and applicable construction rates, then add component costs.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4. Depreciation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Apply useful life, scrap/residual value and building age using the straight-line method.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5. Final Valuation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value + present building value.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6. Valuation Report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Present inputs, calculations, assumptions, sources, overrides and exceptions for review/audit.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2. What the Application Is Doing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The MVP follows the methodology demonstrated in the supplied valuation report. The property is separated into two principal components: land and building. The final figure is obtained by combining the land value and the depreciated building value.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Important: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The 10% / 30% / 60% weighting shown in this demo is the methodology used in the supplied report. It should be treated as configurable report-specific methodology, not as a claim that these weights are a universal Nepal-wide statutory rule.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3. Land Valuation Flow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Input / Step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Role in valuation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Government / minimum valuation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Reference value applicable to the location and land category.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Market / commercial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Market indication from market survey, broker information or comparable evidence.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Distressed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Valuer-assessed distressed / forced-sale indication.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Weights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In the supplied report: Government 10%, Market 30%, Distressed 60%.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Weighted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(Government × 10%) + (Market × 30%) + (Distressed × 60%).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Adopted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Rate finally adopted by the valuer; kept separate from the raw weighted calculation.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area × adopted rate.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4. Building Valuation Flow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Step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Formula / logic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1. Measure building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Determine floor areas and total floor area.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2. Civil construction cost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Applicable floor area × applicable construction rate.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3. Sanitary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In the supplied report: 10% of civil works.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4. Electrical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In the supplied report: 8% of civil works.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5. Gross building cost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Civil + sanitary + electrical.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6. Depreciation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Straight-line method using useful life, scrap value and building age.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7. Present building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Gross building cost − depreciation.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5. Depreciation and Scrap Value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Scrap/residual value is the assumed value remaining at the end of the building's useful life. In the supplied report, the assumption is 10% scrap value and 50 years useful life.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Annual depreciation rate = (100% − 10%) ÷ 50 = 1.8% per year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For a building aged one year, the depreciation amount is gross building cost × 1.8% × 1 year.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6. Worked Example from the Supplied Valuation Report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Item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area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9.11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Government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8,00,000 /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Market / commercial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20,20,000 /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Distressed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14,80,000 /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Weights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10% / 30% / 60%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Mathematical weighted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15,74,000 /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Adopted land rate in report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15,00,000 / aana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1,36,65,000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Building area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2,854.71 sq ft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Construction rate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2,500 / sq ft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Civil cost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71,36,775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Sanitary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10% = Rs. 7,13,677.50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Electrical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8% = Rs. 5,70,942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Gross building cost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84,21,394.50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Building age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1 year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Useful life / scrap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50 years / 10%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Depreciation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Rs. 1,51,585.10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Present building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≈ Rs. 82,69,809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Final value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≈ Rs. 2,19,34,809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7. Calculated Rate vs Adopted Rate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The supplied rep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ort's arithmetic produces a weighted rate of Rs. 15.74 lakh/aana, but the report adopts Rs. 15 lakh/aana. The application therefore keeps both values visible. This prevents a reviewer from confusing a calculated result with the final professional adoption.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Recommended audit trail: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Every important input should record its source, date, methodology, user/valuer and any adjustment or override. The system should never hide a manual override.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8. What the valuator or any user collects initially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Screen / Section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What is shown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Property Profile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Location, plot/land details, road/access and building information.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Evidence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Documents, inspection findings, source records and market evidence.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Calculation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Government, market and distressed inputs; weights; calculated rate; adopted rate; land value.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Building Calculation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Area, construction rate, component costs, depreciation and present value.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Final Valuation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Land value + building value.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Exceptions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Missing evidence, manual overrides, inconsistent figures and calculation warnings.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Report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Printable valuation summary with calculation trail.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9. Future: Evidence-Driven Valuation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The MVP ca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n initially accept government, market and distressed rates as controlled inputs. A production system should progressively replace manual market inputs with verified data sources and comparable-property evidence, while preserving valuer review and approval.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tbl>
      <w:tblPr>
        <w:tblStyle w:val="753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5040"/>
        <w:gridCol w:w="5040"/>
      </w:tblGrid>
      <w:tr>
        <w:trPr/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Data Layer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shd w:val="clear" w:color="auto" w:fill="dce6f1"/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18"/>
              </w:rPr>
              <w:t xml:space="preserve">Future Capability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Government Data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Location-specific minimum valuation data by fiscal year and applicable land category.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Comparable Data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Nearby transactions / market evidence with date, area, price, road and property characteristics.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Market Engine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Normalize comparable prices and apply transparent adjustments.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Building Cost Database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Maintain construction rates by building type, quality and applicable period.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Valuer Review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Approve, adjust or reject model indications with the reason recorded.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  <w:tr>
        <w:trPr/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Audit Layer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  <w:tc>
          <w:tcPr>
            <w:tcBorders/>
            <w:tcW w:w="5040" w:type="dxa"/>
            <w:vAlign w:val="top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 w:themeColor="text1"/>
                <w:sz w:val="18"/>
              </w:rPr>
              <w:t xml:space="preserve">Preserve source, timestamp, calculation version and override history.</w:t>
            </w:r>
            <w:r>
              <w:rPr>
                <w:rFonts w:ascii="Times New Roman" w:hAnsi="Times New Roman" w:eastAsia="Times New Roman" w:cs="Times New Roman"/>
                <w:color w:val="000000" w:themeColor="text1"/>
              </w:rPr>
            </w:r>
          </w:p>
        </w:tc>
      </w:tr>
    </w:tbl>
    <w:p>
      <w:pPr>
        <w:pStyle w:val="69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10. Executive Summary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The application is designed to mak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e valuation calculations structured, transparent and reviewable. It does not merely output a number: it shows where the number came from, which inputs were used, which assumptions were applied and where a professional valuer made an adoption or adjustment.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b/>
          <w:color w:val="000000" w:themeColor="text1"/>
        </w:rPr>
        <w:t xml:space="preserve">Scope note: 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This document describes the MVP flow based on the supplied valuation report. The report's 10% / 30% / 60% weighting, distressed-value assessment, constructio</w:t>
      </w:r>
      <w:r>
        <w:rPr>
          <w:rFonts w:ascii="Times New Roman" w:hAnsi="Times New Roman" w:eastAsia="Times New Roman" w:cs="Times New Roman"/>
          <w:color w:val="000000" w:themeColor="text1"/>
        </w:rPr>
        <w:t xml:space="preserve">n percentages and depreciation assumptions are presented as report-specific methodology. They should be validated against the institution's current policy, applicable Nepal valuation standards and regulatory requirements before live bank lending decisions.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sectPr>
      <w:footnotePr/>
      <w:endnotePr/>
      <w:type w:val="nextPage"/>
      <w:pgSz w:h="15840" w:orient="portrait" w:w="12240"/>
      <w:pgMar w:top="936" w:right="1080" w:bottom="936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5040102010807070707"/>
  </w:font>
  <w:font w:name="Aptos">
    <w:panose1 w:val="050401020108070707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Aptos" w:hAnsi="Aptos"/>
      <w:sz w:val="20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2026-08-24T05:16:35Z</dcterms:modified>
  <cp:category/>
</cp:coreProperties>
</file>