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114935" distR="114935">
            <wp:extent cx="3657600" cy="6775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57600" cy="677545"/>
                    </a:xfrm>
                    <a:prstGeom prst="rect">
                      <a:avLst/>
                    </a:prstGeom>
                  </pic:spPr>
                </pic:pic>
              </a:graphicData>
            </a:graphic>
          </wp:inline>
        </w:drawing>
      </w:r>
    </w:p>
    <w:p>
      <w:pPr>
        <w:pStyle w:val="Heading1"/>
        <w:rPr/>
      </w:pPr>
      <w:r>
        <w:rPr/>
        <w:t>CONSULTING IN THE NEAR FUTURE</w:t>
      </w:r>
    </w:p>
    <w:p>
      <w:pPr>
        <w:pStyle w:val="Normal"/>
        <w:rPr/>
      </w:pPr>
      <w:r>
        <w:rPr/>
        <w:drawing>
          <wp:inline distT="0" distB="0" distL="114935" distR="114935">
            <wp:extent cx="5287010" cy="18243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287010" cy="1824355"/>
                    </a:xfrm>
                    <a:prstGeom prst="rect">
                      <a:avLst/>
                    </a:prstGeom>
                  </pic:spPr>
                </pic:pic>
              </a:graphicData>
            </a:graphic>
          </wp:inline>
        </w:drawing>
      </w:r>
    </w:p>
    <w:p>
      <w:pPr>
        <w:pStyle w:val="Normal"/>
        <w:rPr/>
      </w:pPr>
      <w:r>
        <w:rPr/>
        <w:t>Stork Industries develops and manufactures advanced weapons and technologies to meet the national security requirements of its customer nations. At the request of Valinar Coalition Command, Stork has developed a unique lines of weapons designed to ensure maximum deterrence and support the sovereignty of Valinar Coalition Members. These weapons have been customized to integrate with Iron Zone Industries unmanned platform. Their capabilities are outlined in Table 1.</w:t>
      </w:r>
    </w:p>
    <w:tbl>
      <w:tblPr>
        <w:tblStyle w:val="LightShading-Accent1"/>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60"/>
        <w:gridCol w:w="2160"/>
        <w:gridCol w:w="2160"/>
        <w:gridCol w:w="2159"/>
      </w:tblGrid>
      <w:tr>
        <w:trPr/>
        <w:tc>
          <w:tcPr>
            <w:tcW w:w="2160" w:type="dxa"/>
            <w:tcBorders/>
          </w:tcPr>
          <w:p>
            <w:pPr>
              <w:pStyle w:val="Normal"/>
              <w:widowControl/>
              <w:spacing w:lineRule="auto" w:line="240" w:before="0" w:after="0"/>
              <w:jc w:val="left"/>
              <w:rPr>
                <w:rFonts w:ascii="Cambria" w:hAnsi="Cambria" w:eastAsia="ＭＳ 明朝" w:cs=""/>
                <w:b/>
                <w:b/>
                <w:bCs/>
                <w:color w:val="365F91"/>
                <w:kern w:val="0"/>
                <w:sz w:val="22"/>
                <w:szCs w:val="22"/>
                <w:lang w:val="en-US" w:eastAsia="en-US" w:bidi="ar-SA"/>
              </w:rPr>
            </w:pPr>
            <w:r>
              <w:rPr>
                <w:rFonts w:eastAsia="ＭＳ 明朝" w:cs=""/>
                <w:b/>
                <w:bCs/>
                <w:color w:val="365F91"/>
                <w:kern w:val="0"/>
                <w:sz w:val="22"/>
                <w:szCs w:val="22"/>
                <w:lang w:val="en-US" w:eastAsia="en-US" w:bidi="ar-SA"/>
              </w:rPr>
              <w:t>TYPE</w:t>
            </w:r>
          </w:p>
        </w:tc>
        <w:tc>
          <w:tcPr>
            <w:tcW w:w="2160" w:type="dxa"/>
            <w:tcBorders/>
          </w:tcPr>
          <w:p>
            <w:pPr>
              <w:pStyle w:val="Normal"/>
              <w:widowControl/>
              <w:spacing w:lineRule="auto" w:line="240" w:before="0" w:after="0"/>
              <w:jc w:val="left"/>
              <w:rPr>
                <w:rFonts w:ascii="Cambria" w:hAnsi="Cambria" w:eastAsia="ＭＳ 明朝" w:cs=""/>
                <w:b/>
                <w:b/>
                <w:bCs/>
                <w:color w:val="365F91"/>
                <w:kern w:val="0"/>
                <w:sz w:val="22"/>
                <w:szCs w:val="22"/>
                <w:lang w:val="en-US" w:eastAsia="en-US" w:bidi="ar-SA"/>
              </w:rPr>
            </w:pPr>
            <w:r>
              <w:rPr>
                <w:rFonts w:eastAsia="ＭＳ 明朝" w:cs=""/>
                <w:b/>
                <w:bCs/>
                <w:color w:val="365F91"/>
                <w:kern w:val="0"/>
                <w:sz w:val="22"/>
                <w:szCs w:val="22"/>
                <w:lang w:val="en-US" w:eastAsia="en-US" w:bidi="ar-SA"/>
              </w:rPr>
              <w:t>ROLE</w:t>
            </w:r>
          </w:p>
        </w:tc>
        <w:tc>
          <w:tcPr>
            <w:tcW w:w="2160" w:type="dxa"/>
            <w:tcBorders/>
          </w:tcPr>
          <w:p>
            <w:pPr>
              <w:pStyle w:val="Normal"/>
              <w:widowControl/>
              <w:spacing w:lineRule="auto" w:line="240" w:before="0" w:after="0"/>
              <w:jc w:val="left"/>
              <w:rPr>
                <w:rFonts w:ascii="Cambria" w:hAnsi="Cambria" w:eastAsia="ＭＳ 明朝" w:cs=""/>
                <w:b/>
                <w:b/>
                <w:bCs/>
                <w:color w:val="365F91"/>
                <w:kern w:val="0"/>
                <w:sz w:val="22"/>
                <w:szCs w:val="22"/>
                <w:lang w:val="en-US" w:eastAsia="en-US" w:bidi="ar-SA"/>
              </w:rPr>
            </w:pPr>
            <w:r>
              <w:rPr>
                <w:rFonts w:eastAsia="ＭＳ 明朝" w:cs=""/>
                <w:b/>
                <w:bCs/>
                <w:color w:val="365F91"/>
                <w:kern w:val="0"/>
                <w:sz w:val="22"/>
                <w:szCs w:val="22"/>
                <w:lang w:val="en-US" w:eastAsia="en-US" w:bidi="ar-SA"/>
              </w:rPr>
              <w:t>RANGE</w:t>
            </w:r>
          </w:p>
        </w:tc>
        <w:tc>
          <w:tcPr>
            <w:tcW w:w="2159" w:type="dxa"/>
            <w:tcBorders/>
          </w:tcPr>
          <w:p>
            <w:pPr>
              <w:pStyle w:val="Normal"/>
              <w:widowControl/>
              <w:spacing w:lineRule="auto" w:line="240" w:before="0" w:after="0"/>
              <w:jc w:val="left"/>
              <w:rPr>
                <w:rFonts w:ascii="Cambria" w:hAnsi="Cambria" w:eastAsia="ＭＳ 明朝" w:cs=""/>
                <w:b/>
                <w:b/>
                <w:bCs/>
                <w:color w:val="365F91"/>
                <w:kern w:val="0"/>
                <w:sz w:val="22"/>
                <w:szCs w:val="22"/>
                <w:lang w:val="en-US" w:eastAsia="en-US" w:bidi="ar-SA"/>
              </w:rPr>
            </w:pPr>
            <w:r>
              <w:rPr>
                <w:rFonts w:eastAsia="ＭＳ 明朝" w:cs=""/>
                <w:b/>
                <w:bCs/>
                <w:color w:val="365F91"/>
                <w:kern w:val="0"/>
                <w:sz w:val="22"/>
                <w:szCs w:val="22"/>
                <w:lang w:val="en-US" w:eastAsia="en-US" w:bidi="ar-SA"/>
              </w:rPr>
              <w:t>EFFECTIVE ALTITUDE</w:t>
            </w:r>
          </w:p>
        </w:tc>
      </w:tr>
      <w:tr>
        <w:trPr/>
        <w:tc>
          <w:tcPr>
            <w:tcW w:w="2160" w:type="dxa"/>
            <w:tcBorders>
              <w:top w:val="nil"/>
              <w:bottom w:val="nil"/>
            </w:tcBorders>
            <w:shd w:color="auto" w:fill="D3DFEE" w:themeFill="accent1" w:themeFillTint="3f" w:val="clear"/>
          </w:tcPr>
          <w:p>
            <w:pPr>
              <w:pStyle w:val="Normal"/>
              <w:widowControl/>
              <w:spacing w:lineRule="auto" w:line="240" w:before="0" w:after="0"/>
              <w:jc w:val="left"/>
              <w:rPr>
                <w:rFonts w:ascii="Cambria" w:hAnsi="Cambria" w:eastAsia="ＭＳ 明朝" w:cs=""/>
                <w:b/>
                <w:b/>
                <w:bCs/>
                <w:color w:val="365F91"/>
                <w:kern w:val="0"/>
                <w:sz w:val="22"/>
                <w:szCs w:val="22"/>
                <w:lang w:val="en-US" w:eastAsia="en-US" w:bidi="ar-SA"/>
              </w:rPr>
            </w:pPr>
            <w:r>
              <w:rPr>
                <w:rFonts w:eastAsia="ＭＳ 明朝" w:cs=""/>
                <w:b/>
                <w:bCs/>
                <w:color w:val="365F91"/>
                <w:kern w:val="0"/>
                <w:sz w:val="22"/>
                <w:szCs w:val="22"/>
                <w:lang w:val="en-US" w:eastAsia="en-US" w:bidi="ar-SA"/>
              </w:rPr>
              <w:t>ENHANCED OPTICS</w:t>
            </w:r>
          </w:p>
        </w:tc>
        <w:tc>
          <w:tcPr>
            <w:tcW w:w="2160" w:type="dxa"/>
            <w:tcBorders>
              <w:top w:val="nil"/>
              <w:bottom w:val="nil"/>
            </w:tcBorders>
            <w:shd w:color="auto" w:fill="D3DFEE" w:themeFill="accent1" w:themeFillTint="3f" w:val="clear"/>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camera</w:t>
            </w:r>
          </w:p>
        </w:tc>
        <w:tc>
          <w:tcPr>
            <w:tcW w:w="2160" w:type="dxa"/>
            <w:tcBorders>
              <w:top w:val="nil"/>
              <w:bottom w:val="nil"/>
            </w:tcBorders>
            <w:shd w:color="auto" w:fill="D3DFEE" w:themeFill="accent1" w:themeFillTint="3f" w:val="clear"/>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500.0</w:t>
            </w:r>
          </w:p>
        </w:tc>
        <w:tc>
          <w:tcPr>
            <w:tcW w:w="2159" w:type="dxa"/>
            <w:tcBorders>
              <w:top w:val="nil"/>
              <w:bottom w:val="nil"/>
            </w:tcBorders>
            <w:shd w:color="auto" w:fill="D3DFEE" w:themeFill="accent1" w:themeFillTint="3f" w:val="clear"/>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20000.0</w:t>
            </w:r>
          </w:p>
        </w:tc>
      </w:tr>
      <w:tr>
        <w:trPr/>
        <w:tc>
          <w:tcPr>
            <w:tcW w:w="2160" w:type="dxa"/>
            <w:tcBorders>
              <w:top w:val="nil"/>
              <w:bottom w:val="nil"/>
            </w:tcBorders>
          </w:tcPr>
          <w:p>
            <w:pPr>
              <w:pStyle w:val="Normal"/>
              <w:widowControl/>
              <w:spacing w:lineRule="auto" w:line="240" w:before="0" w:after="0"/>
              <w:jc w:val="left"/>
              <w:rPr>
                <w:rFonts w:ascii="Cambria" w:hAnsi="Cambria" w:eastAsia="ＭＳ 明朝" w:cs=""/>
                <w:b/>
                <w:b/>
                <w:bCs/>
                <w:color w:val="365F91"/>
                <w:kern w:val="0"/>
                <w:sz w:val="22"/>
                <w:szCs w:val="22"/>
                <w:lang w:val="en-US" w:eastAsia="en-US" w:bidi="ar-SA"/>
              </w:rPr>
            </w:pPr>
            <w:r>
              <w:rPr>
                <w:rFonts w:eastAsia="ＭＳ 明朝" w:cs=""/>
                <w:b/>
                <w:bCs/>
                <w:color w:val="365F91"/>
                <w:kern w:val="0"/>
                <w:sz w:val="22"/>
                <w:szCs w:val="22"/>
                <w:lang w:val="en-US" w:eastAsia="en-US" w:bidi="ar-SA"/>
              </w:rPr>
              <w:t>FUEL-FULL</w:t>
            </w:r>
          </w:p>
        </w:tc>
        <w:tc>
          <w:tcPr>
            <w:tcW w:w="2160" w:type="dxa"/>
            <w:tcBorders>
              <w:top w:val="nil"/>
              <w:bottom w:val="nil"/>
            </w:tcBorders>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fuel</w:t>
            </w:r>
          </w:p>
        </w:tc>
        <w:tc>
          <w:tcPr>
            <w:tcW w:w="2160" w:type="dxa"/>
            <w:tcBorders>
              <w:top w:val="nil"/>
              <w:bottom w:val="nil"/>
            </w:tcBorders>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0.0</w:t>
            </w:r>
          </w:p>
        </w:tc>
        <w:tc>
          <w:tcPr>
            <w:tcW w:w="2159" w:type="dxa"/>
            <w:tcBorders>
              <w:top w:val="nil"/>
              <w:bottom w:val="nil"/>
            </w:tcBorders>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0.0</w:t>
            </w:r>
          </w:p>
        </w:tc>
      </w:tr>
      <w:tr>
        <w:trPr/>
        <w:tc>
          <w:tcPr>
            <w:tcW w:w="2160" w:type="dxa"/>
            <w:tcBorders>
              <w:top w:val="nil"/>
              <w:bottom w:val="nil"/>
            </w:tcBorders>
            <w:shd w:color="auto" w:fill="D3DFEE" w:themeFill="accent1" w:themeFillTint="3f" w:val="clear"/>
          </w:tcPr>
          <w:p>
            <w:pPr>
              <w:pStyle w:val="Normal"/>
              <w:widowControl/>
              <w:spacing w:lineRule="auto" w:line="240" w:before="0" w:after="0"/>
              <w:jc w:val="left"/>
              <w:rPr>
                <w:rFonts w:ascii="Cambria" w:hAnsi="Cambria" w:eastAsia="ＭＳ 明朝" w:cs=""/>
                <w:b/>
                <w:b/>
                <w:bCs/>
                <w:color w:val="365F91"/>
                <w:kern w:val="0"/>
                <w:sz w:val="22"/>
                <w:szCs w:val="22"/>
                <w:lang w:val="en-US" w:eastAsia="en-US" w:bidi="ar-SA"/>
              </w:rPr>
            </w:pPr>
            <w:r>
              <w:rPr>
                <w:rFonts w:eastAsia="ＭＳ 明朝" w:cs=""/>
                <w:b/>
                <w:bCs/>
                <w:color w:val="365F91"/>
                <w:kern w:val="0"/>
                <w:sz w:val="22"/>
                <w:szCs w:val="22"/>
                <w:lang w:val="en-US" w:eastAsia="en-US" w:bidi="ar-SA"/>
              </w:rPr>
              <w:t>VALINAR-AMM</w:t>
            </w:r>
          </w:p>
        </w:tc>
        <w:tc>
          <w:tcPr>
            <w:tcW w:w="2160" w:type="dxa"/>
            <w:tcBorders>
              <w:top w:val="nil"/>
              <w:bottom w:val="nil"/>
            </w:tcBorders>
            <w:shd w:color="auto" w:fill="D3DFEE" w:themeFill="accent1" w:themeFillTint="3f" w:val="clear"/>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air-to-air</w:t>
            </w:r>
          </w:p>
        </w:tc>
        <w:tc>
          <w:tcPr>
            <w:tcW w:w="2160" w:type="dxa"/>
            <w:tcBorders>
              <w:top w:val="nil"/>
              <w:bottom w:val="nil"/>
            </w:tcBorders>
            <w:shd w:color="auto" w:fill="D3DFEE" w:themeFill="accent1" w:themeFillTint="3f" w:val="clear"/>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7500.0</w:t>
            </w:r>
          </w:p>
        </w:tc>
        <w:tc>
          <w:tcPr>
            <w:tcW w:w="2159" w:type="dxa"/>
            <w:tcBorders>
              <w:top w:val="nil"/>
              <w:bottom w:val="nil"/>
            </w:tcBorders>
            <w:shd w:color="auto" w:fill="D3DFEE" w:themeFill="accent1" w:themeFillTint="3f" w:val="clear"/>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50000.0</w:t>
            </w:r>
          </w:p>
        </w:tc>
      </w:tr>
      <w:tr>
        <w:trPr/>
        <w:tc>
          <w:tcPr>
            <w:tcW w:w="2160" w:type="dxa"/>
            <w:tcBorders>
              <w:top w:val="nil"/>
              <w:bottom w:val="nil"/>
            </w:tcBorders>
          </w:tcPr>
          <w:p>
            <w:pPr>
              <w:pStyle w:val="Normal"/>
              <w:widowControl/>
              <w:spacing w:lineRule="auto" w:line="240" w:before="0" w:after="0"/>
              <w:jc w:val="left"/>
              <w:rPr>
                <w:rFonts w:ascii="Cambria" w:hAnsi="Cambria" w:eastAsia="ＭＳ 明朝" w:cs=""/>
                <w:b/>
                <w:b/>
                <w:bCs/>
                <w:color w:val="365F91"/>
                <w:kern w:val="0"/>
                <w:sz w:val="22"/>
                <w:szCs w:val="22"/>
                <w:lang w:val="en-US" w:eastAsia="en-US" w:bidi="ar-SA"/>
              </w:rPr>
            </w:pPr>
            <w:r>
              <w:rPr>
                <w:rFonts w:eastAsia="ＭＳ 明朝" w:cs=""/>
                <w:b/>
                <w:bCs/>
                <w:color w:val="365F91"/>
                <w:kern w:val="0"/>
                <w:sz w:val="22"/>
                <w:szCs w:val="22"/>
                <w:lang w:val="en-US" w:eastAsia="en-US" w:bidi="ar-SA"/>
              </w:rPr>
              <w:t>VALINAR-BOMBER-RADAR</w:t>
            </w:r>
          </w:p>
        </w:tc>
        <w:tc>
          <w:tcPr>
            <w:tcW w:w="2160" w:type="dxa"/>
            <w:tcBorders>
              <w:top w:val="nil"/>
              <w:bottom w:val="nil"/>
            </w:tcBorders>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ground radar</w:t>
            </w:r>
          </w:p>
        </w:tc>
        <w:tc>
          <w:tcPr>
            <w:tcW w:w="2160" w:type="dxa"/>
            <w:tcBorders>
              <w:top w:val="nil"/>
              <w:bottom w:val="nil"/>
            </w:tcBorders>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15000.0</w:t>
            </w:r>
          </w:p>
        </w:tc>
        <w:tc>
          <w:tcPr>
            <w:tcW w:w="2159" w:type="dxa"/>
            <w:tcBorders>
              <w:top w:val="nil"/>
              <w:bottom w:val="nil"/>
            </w:tcBorders>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50000.0</w:t>
            </w:r>
          </w:p>
        </w:tc>
      </w:tr>
      <w:tr>
        <w:trPr/>
        <w:tc>
          <w:tcPr>
            <w:tcW w:w="2160" w:type="dxa"/>
            <w:tcBorders>
              <w:top w:val="nil"/>
              <w:bottom w:val="nil"/>
            </w:tcBorders>
            <w:shd w:color="auto" w:fill="D3DFEE" w:themeFill="accent1" w:themeFillTint="3f" w:val="clear"/>
          </w:tcPr>
          <w:p>
            <w:pPr>
              <w:pStyle w:val="Normal"/>
              <w:widowControl/>
              <w:spacing w:lineRule="auto" w:line="240" w:before="0" w:after="0"/>
              <w:jc w:val="left"/>
              <w:rPr>
                <w:rFonts w:ascii="Cambria" w:hAnsi="Cambria" w:eastAsia="ＭＳ 明朝" w:cs=""/>
                <w:b/>
                <w:b/>
                <w:bCs/>
                <w:color w:val="365F91"/>
                <w:kern w:val="0"/>
                <w:sz w:val="22"/>
                <w:szCs w:val="22"/>
                <w:lang w:val="en-US" w:eastAsia="en-US" w:bidi="ar-SA"/>
              </w:rPr>
            </w:pPr>
            <w:r>
              <w:rPr>
                <w:rFonts w:eastAsia="ＭＳ 明朝" w:cs=""/>
                <w:b/>
                <w:bCs/>
                <w:color w:val="365F91"/>
                <w:kern w:val="0"/>
                <w:sz w:val="22"/>
                <w:szCs w:val="22"/>
                <w:lang w:val="en-US" w:eastAsia="en-US" w:bidi="ar-SA"/>
              </w:rPr>
              <w:t>VALINAR-FGHT-RADAR</w:t>
            </w:r>
          </w:p>
        </w:tc>
        <w:tc>
          <w:tcPr>
            <w:tcW w:w="2160" w:type="dxa"/>
            <w:tcBorders>
              <w:top w:val="nil"/>
              <w:bottom w:val="nil"/>
            </w:tcBorders>
            <w:shd w:color="auto" w:fill="D3DFEE" w:themeFill="accent1" w:themeFillTint="3f" w:val="clear"/>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air radar</w:t>
            </w:r>
          </w:p>
        </w:tc>
        <w:tc>
          <w:tcPr>
            <w:tcW w:w="2160" w:type="dxa"/>
            <w:tcBorders>
              <w:top w:val="nil"/>
              <w:bottom w:val="nil"/>
            </w:tcBorders>
            <w:shd w:color="auto" w:fill="D3DFEE" w:themeFill="accent1" w:themeFillTint="3f" w:val="clear"/>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12500.0</w:t>
            </w:r>
          </w:p>
        </w:tc>
        <w:tc>
          <w:tcPr>
            <w:tcW w:w="2159" w:type="dxa"/>
            <w:tcBorders>
              <w:top w:val="nil"/>
              <w:bottom w:val="nil"/>
            </w:tcBorders>
            <w:shd w:color="auto" w:fill="D3DFEE" w:themeFill="accent1" w:themeFillTint="3f" w:val="clear"/>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50000.0</w:t>
            </w:r>
          </w:p>
        </w:tc>
      </w:tr>
      <w:tr>
        <w:trPr/>
        <w:tc>
          <w:tcPr>
            <w:tcW w:w="2160" w:type="dxa"/>
            <w:tcBorders>
              <w:top w:val="nil"/>
              <w:bottom w:val="nil"/>
            </w:tcBorders>
          </w:tcPr>
          <w:p>
            <w:pPr>
              <w:pStyle w:val="Normal"/>
              <w:widowControl/>
              <w:spacing w:lineRule="auto" w:line="240" w:before="0" w:after="0"/>
              <w:jc w:val="left"/>
              <w:rPr>
                <w:rFonts w:ascii="Cambria" w:hAnsi="Cambria" w:eastAsia="ＭＳ 明朝" w:cs=""/>
                <w:b/>
                <w:b/>
                <w:bCs/>
                <w:color w:val="365F91"/>
                <w:kern w:val="0"/>
                <w:sz w:val="22"/>
                <w:szCs w:val="22"/>
                <w:lang w:val="en-US" w:eastAsia="en-US" w:bidi="ar-SA"/>
              </w:rPr>
            </w:pPr>
            <w:r>
              <w:rPr>
                <w:rFonts w:eastAsia="ＭＳ 明朝" w:cs=""/>
                <w:b/>
                <w:bCs/>
                <w:color w:val="365F91"/>
                <w:kern w:val="0"/>
                <w:sz w:val="22"/>
                <w:szCs w:val="22"/>
                <w:lang w:val="en-US" w:eastAsia="en-US" w:bidi="ar-SA"/>
              </w:rPr>
              <w:t>VALINAR-ISR-RADAR</w:t>
            </w:r>
          </w:p>
        </w:tc>
        <w:tc>
          <w:tcPr>
            <w:tcW w:w="2160" w:type="dxa"/>
            <w:tcBorders>
              <w:top w:val="nil"/>
              <w:bottom w:val="nil"/>
            </w:tcBorders>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air &amp; ground radar</w:t>
            </w:r>
          </w:p>
        </w:tc>
        <w:tc>
          <w:tcPr>
            <w:tcW w:w="2160" w:type="dxa"/>
            <w:tcBorders>
              <w:top w:val="nil"/>
              <w:bottom w:val="nil"/>
            </w:tcBorders>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43000.0</w:t>
            </w:r>
          </w:p>
        </w:tc>
        <w:tc>
          <w:tcPr>
            <w:tcW w:w="2159" w:type="dxa"/>
            <w:tcBorders>
              <w:top w:val="nil"/>
              <w:bottom w:val="nil"/>
            </w:tcBorders>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50000.0</w:t>
            </w:r>
          </w:p>
        </w:tc>
      </w:tr>
      <w:tr>
        <w:trPr/>
        <w:tc>
          <w:tcPr>
            <w:tcW w:w="2160" w:type="dxa"/>
            <w:tcBorders>
              <w:top w:val="nil"/>
            </w:tcBorders>
            <w:shd w:color="auto" w:fill="D3DFEE" w:themeFill="accent1" w:themeFillTint="3f" w:val="clear"/>
          </w:tcPr>
          <w:p>
            <w:pPr>
              <w:pStyle w:val="Normal"/>
              <w:widowControl/>
              <w:spacing w:lineRule="auto" w:line="240" w:before="0" w:after="0"/>
              <w:jc w:val="left"/>
              <w:rPr>
                <w:rFonts w:ascii="Cambria" w:hAnsi="Cambria" w:eastAsia="ＭＳ 明朝" w:cs=""/>
                <w:b/>
                <w:b/>
                <w:bCs/>
                <w:color w:val="365F91"/>
                <w:kern w:val="0"/>
                <w:sz w:val="22"/>
                <w:szCs w:val="22"/>
                <w:lang w:val="en-US" w:eastAsia="en-US" w:bidi="ar-SA"/>
              </w:rPr>
            </w:pPr>
            <w:r>
              <w:rPr>
                <w:rFonts w:eastAsia="ＭＳ 明朝" w:cs=""/>
                <w:b/>
                <w:bCs/>
                <w:color w:val="365F91"/>
                <w:kern w:val="0"/>
                <w:sz w:val="22"/>
                <w:szCs w:val="22"/>
                <w:lang w:val="en-US" w:eastAsia="en-US" w:bidi="ar-SA"/>
              </w:rPr>
              <w:t>VALINAR-TL</w:t>
            </w:r>
          </w:p>
        </w:tc>
        <w:tc>
          <w:tcPr>
            <w:tcW w:w="2160" w:type="dxa"/>
            <w:tcBorders>
              <w:top w:val="nil"/>
            </w:tcBorders>
            <w:shd w:color="auto" w:fill="D3DFEE" w:themeFill="accent1" w:themeFillTint="3f" w:val="clear"/>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air-to-ground</w:t>
            </w:r>
          </w:p>
        </w:tc>
        <w:tc>
          <w:tcPr>
            <w:tcW w:w="2160" w:type="dxa"/>
            <w:tcBorders>
              <w:top w:val="nil"/>
            </w:tcBorders>
            <w:shd w:color="auto" w:fill="D3DFEE" w:themeFill="accent1" w:themeFillTint="3f" w:val="clear"/>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150.0</w:t>
            </w:r>
          </w:p>
        </w:tc>
        <w:tc>
          <w:tcPr>
            <w:tcW w:w="2159" w:type="dxa"/>
            <w:tcBorders>
              <w:top w:val="nil"/>
            </w:tcBorders>
            <w:shd w:color="auto" w:fill="D3DFEE" w:themeFill="accent1" w:themeFillTint="3f" w:val="clear"/>
          </w:tcPr>
          <w:p>
            <w:pPr>
              <w:pStyle w:val="Normal"/>
              <w:widowControl/>
              <w:spacing w:lineRule="auto" w:line="240" w:before="0" w:after="0"/>
              <w:jc w:val="left"/>
              <w:rPr>
                <w:rFonts w:ascii="Cambria" w:hAnsi="Cambria" w:eastAsia="ＭＳ 明朝" w:cs=""/>
                <w:color w:val="365F91"/>
                <w:kern w:val="0"/>
                <w:sz w:val="22"/>
                <w:szCs w:val="22"/>
                <w:lang w:val="en-US" w:eastAsia="en-US" w:bidi="ar-SA"/>
              </w:rPr>
            </w:pPr>
            <w:r>
              <w:rPr>
                <w:rFonts w:eastAsia="ＭＳ 明朝" w:cs=""/>
                <w:color w:val="365F91"/>
                <w:kern w:val="0"/>
                <w:sz w:val="22"/>
                <w:szCs w:val="22"/>
                <w:lang w:val="en-US" w:eastAsia="en-US" w:bidi="ar-SA"/>
              </w:rPr>
              <w:t>10000.0</w:t>
            </w:r>
          </w:p>
        </w:tc>
      </w:tr>
    </w:tbl>
    <w:p>
      <w:pPr>
        <w:pStyle w:val="Normal"/>
        <w:spacing w:before="0" w:after="200"/>
        <w:jc w:val="both"/>
        <w:rPr/>
      </w:pPr>
      <w:r>
        <w:rPr/>
        <w:br/>
        <w:t>Range is the area of effect or targeting range of a given payload. Effective altitude is the maximum altitude a payload can be executed from.</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LibreOffice/7.1.4.2$Linux_X86_64 LibreOffice_project/10$Build-2</Application>
  <AppVersion>15.0000</AppVersion>
  <Pages>1</Pages>
  <Words>136</Words>
  <Characters>825</Characters>
  <CharactersWithSpaces>927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2021-07-18T22:41:59Z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