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Workplace Security &amp; Conduct (U.S.) — Unique Academy</w:t>
      </w:r>
    </w:p>
    <w:p>
      <w:r>
        <w:rPr>
          <w:i/>
        </w:rPr>
        <w:t>Applies to U.S.-based employees of Unique Academy. Where state or local law provides greater benefits, the higher standard applies.</w:t>
      </w:r>
    </w:p>
    <w:p>
      <w:pPr>
        <w:pStyle w:val="Heading2"/>
      </w:pPr>
      <w:r>
        <w:t>Standards of Conduct</w:t>
      </w:r>
    </w:p>
    <w:p>
      <w:pPr>
        <w:pStyle w:val="ListBullet"/>
      </w:pPr>
      <w:r>
        <w:t>Treat colleagues, learners, and partners with dignity and respect; no harassment, discrimination, or retaliation.</w:t>
      </w:r>
    </w:p>
    <w:p>
      <w:pPr>
        <w:pStyle w:val="ListBullet"/>
      </w:pPr>
      <w:r>
        <w:t>Follow all company policies, lawful instructions, and professional ethics standards.</w:t>
      </w:r>
    </w:p>
    <w:p>
      <w:pPr>
        <w:pStyle w:val="ListBullet"/>
      </w:pPr>
      <w:r>
        <w:t>Conflicts of Interest: Disclose outside employment, family relationships in reporting lines, or vendor gifts &gt; $50.</w:t>
      </w:r>
    </w:p>
    <w:p>
      <w:pPr>
        <w:pStyle w:val="Heading2"/>
      </w:pPr>
      <w:r>
        <w:t>Physical Security &amp; Facilities</w:t>
      </w:r>
    </w:p>
    <w:p>
      <w:pPr>
        <w:pStyle w:val="ListBullet"/>
      </w:pPr>
      <w:r>
        <w:t>Access Control: Carry your photo badge; do not tailgate; challenge or escort unknown visitors.</w:t>
      </w:r>
    </w:p>
    <w:p>
      <w:pPr>
        <w:pStyle w:val="ListBullet"/>
      </w:pPr>
      <w:r>
        <w:t>Visitor Management: Pre‑register visitors; ensure they sign in, wear a visitor badge, and are escorted at all times.</w:t>
      </w:r>
    </w:p>
    <w:p>
      <w:pPr>
        <w:pStyle w:val="ListBullet"/>
      </w:pPr>
      <w:r>
        <w:t>Asset Security: Lock workstations when unattended; store confidential material in locked cabinets; clean‑desk after hours.</w:t>
      </w:r>
    </w:p>
    <w:p>
      <w:pPr>
        <w:pStyle w:val="ListBullet"/>
      </w:pPr>
      <w:r>
        <w:t>Lost/Stolen Badges: Report within 24 hours; replacement fee may apply ($25).</w:t>
      </w:r>
    </w:p>
    <w:p>
      <w:pPr>
        <w:pStyle w:val="Heading2"/>
      </w:pPr>
      <w:r>
        <w:t>Information Security &amp; Acceptable Use</w:t>
      </w:r>
    </w:p>
    <w:p>
      <w:pPr>
        <w:pStyle w:val="ListBullet"/>
      </w:pPr>
      <w:r>
        <w:t>Authentication: Use strong passwords and multi‑factor authentication on all corporate accounts.</w:t>
      </w:r>
    </w:p>
    <w:p>
      <w:pPr>
        <w:pStyle w:val="ListBullet"/>
      </w:pPr>
      <w:r>
        <w:t>Devices: Only company‑managed laptops/phones may access production data; personal (BYOD) devices require MDM enrollment and screen‑lock.</w:t>
      </w:r>
    </w:p>
    <w:p>
      <w:pPr>
        <w:pStyle w:val="ListBullet"/>
      </w:pPr>
      <w:r>
        <w:t>Data Handling: Classify data (Public, Internal, Confidential, Restricted). Encrypt Restricted data at rest and in transit. Share confidential data on approved tools only.</w:t>
      </w:r>
    </w:p>
    <w:p>
      <w:pPr>
        <w:pStyle w:val="ListBullet"/>
      </w:pPr>
      <w:r>
        <w:t>Prohibited: Sharing passwords, installing unapproved software, disabling security controls, or exfiltrating data to personal cloud storage.</w:t>
      </w:r>
    </w:p>
    <w:p>
      <w:pPr>
        <w:pStyle w:val="ListBullet"/>
      </w:pPr>
      <w:r>
        <w:t>Email &amp; Phishing: Report suspicious emails using the “Report Phish” function; do not click unknown links or attachments.</w:t>
      </w:r>
    </w:p>
    <w:p>
      <w:pPr>
        <w:pStyle w:val="Heading2"/>
      </w:pPr>
      <w:r>
        <w:t>Remote Work &amp; Travel Security</w:t>
      </w:r>
    </w:p>
    <w:p>
      <w:pPr>
        <w:pStyle w:val="ListBullet"/>
      </w:pPr>
      <w:r>
        <w:t>Use company VPN on public Wi‑Fi; avoid printing confidential materials off‑site.</w:t>
      </w:r>
    </w:p>
    <w:p>
      <w:pPr>
        <w:pStyle w:val="ListBullet"/>
      </w:pPr>
      <w:r>
        <w:t>Do not discuss sensitive topics in public spaces; be mindful of shoulder‑surfing.</w:t>
      </w:r>
    </w:p>
    <w:p>
      <w:pPr>
        <w:pStyle w:val="ListBullet"/>
      </w:pPr>
      <w:r>
        <w:t>Travel with minimal data; enable device full‑disk encryption and remote wipe.</w:t>
      </w:r>
    </w:p>
    <w:p>
      <w:pPr>
        <w:pStyle w:val="Heading2"/>
      </w:pPr>
      <w:r>
        <w:t>Privacy, Confidentiality, and Records</w:t>
      </w:r>
    </w:p>
    <w:p>
      <w:pPr>
        <w:pStyle w:val="ListBullet"/>
      </w:pPr>
      <w:r>
        <w:t>Protect student and employee personal information per applicable privacy laws (e.g., FERPA/GLBA where applicable).</w:t>
      </w:r>
    </w:p>
    <w:p>
      <w:pPr>
        <w:pStyle w:val="ListBullet"/>
      </w:pPr>
      <w:r>
        <w:t>Use only approved retention repositories; follow records retention schedules for destruction.</w:t>
      </w:r>
    </w:p>
    <w:p>
      <w:pPr>
        <w:pStyle w:val="ListBullet"/>
      </w:pPr>
      <w:r>
        <w:t>Media &amp; Social: Do not speak to press or post confidential company information on social media without authorization.</w:t>
      </w:r>
    </w:p>
    <w:p>
      <w:pPr>
        <w:pStyle w:val="Heading2"/>
      </w:pPr>
      <w:r>
        <w:t>Incident Reporting &amp; Enforcement</w:t>
      </w:r>
    </w:p>
    <w:p>
      <w:pPr>
        <w:pStyle w:val="ListBullet"/>
      </w:pPr>
      <w:r>
        <w:t>Report safety, security, or conduct incidents to your manager and HR within 24 hours; for emergencies call 911 and building security.</w:t>
      </w:r>
    </w:p>
    <w:p>
      <w:pPr>
        <w:pStyle w:val="ListBullet"/>
      </w:pPr>
      <w:r>
        <w:t>Security incidents must be reported to IT Security immediately via the designated channel.</w:t>
      </w:r>
    </w:p>
    <w:p>
      <w:pPr>
        <w:pStyle w:val="ListBullet"/>
      </w:pPr>
      <w:r>
        <w:t>Consequences range from coaching to termination; unlawful conduct may be referred to authorities.</w:t>
      </w:r>
    </w:p>
    <w:p>
      <w:pPr>
        <w:pStyle w:val="Heading2"/>
      </w:pPr>
      <w:r>
        <w:t>Training &amp; Acknowledgment</w:t>
      </w:r>
    </w:p>
    <w:p>
      <w:pPr>
        <w:pStyle w:val="ListBullet"/>
      </w:pPr>
      <w:r>
        <w:t>Complete annual compliance training (code of conduct, anti‑harassment, data privacy, and security awareness).</w:t>
      </w:r>
    </w:p>
    <w:p>
      <w:pPr>
        <w:pStyle w:val="ListBullet"/>
      </w:pPr>
      <w:r>
        <w:t>Acknowledge receipt of this policy in the HRIS within 7 days of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