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and Sick Leave Policy – Unique Academy India</w:t>
      </w:r>
    </w:p>
    <w:p>
      <w:r>
        <w:t>Applies to: Unique Academy India – Hyderabad Campus</w:t>
        <w:br/>
        <w:t>Effective Date: November 2025</w:t>
        <w:br/>
      </w:r>
    </w:p>
    <w:p>
      <w:pPr>
        <w:pStyle w:val="Heading2"/>
      </w:pPr>
      <w:r>
        <w:t>Overview</w:t>
      </w:r>
    </w:p>
    <w:p>
      <w:r>
        <w:t>Unique Academy India ensures that all employees are covered under statutory and supplemental insurance schemes. This policy explains the available coverage and the process to follow during illness or injury.</w:t>
      </w:r>
    </w:p>
    <w:p>
      <w:pPr>
        <w:pStyle w:val="Heading2"/>
      </w:pPr>
      <w:r>
        <w:t>Health and Accident Insurance</w:t>
      </w:r>
    </w:p>
    <w:p>
      <w:pPr>
        <w:pStyle w:val="ListBullet"/>
      </w:pPr>
      <w:r>
        <w:t>All employees are covered by a Group Mediclaim Policy (GMC) with coverage up to ₹5 lakh per family.</w:t>
      </w:r>
    </w:p>
    <w:p>
      <w:pPr>
        <w:pStyle w:val="ListBullet"/>
      </w:pPr>
      <w:r>
        <w:t>Accidental Death and Disability Insurance: ₹10 lakh coverage per employee, fully paid by the company.</w:t>
      </w:r>
    </w:p>
    <w:p>
      <w:pPr>
        <w:pStyle w:val="ListBullet"/>
      </w:pPr>
      <w:r>
        <w:t>Hospitalization claims must be initiated within 48 hours of admission through the TPA helpline.</w:t>
      </w:r>
    </w:p>
    <w:p>
      <w:pPr>
        <w:pStyle w:val="ListBullet"/>
      </w:pPr>
      <w:r>
        <w:t>Outpatient treatment up to ₹5,000 per year can be reimbursed on submission of bills.</w:t>
      </w:r>
    </w:p>
    <w:p>
      <w:pPr>
        <w:pStyle w:val="Heading2"/>
      </w:pPr>
      <w:r>
        <w:t>Leave for Illness or Medical Emergencies</w:t>
      </w:r>
    </w:p>
    <w:p>
      <w:pPr>
        <w:pStyle w:val="ListBullet"/>
      </w:pPr>
      <w:r>
        <w:t>Employees are entitled to 12 days of paid Sick Leave per calendar year.</w:t>
      </w:r>
    </w:p>
    <w:p>
      <w:pPr>
        <w:pStyle w:val="ListBullet"/>
      </w:pPr>
      <w:r>
        <w:t>For absences beyond 3 consecutive days, a valid medical certificate must be submitted to HR.</w:t>
      </w:r>
    </w:p>
    <w:p>
      <w:pPr>
        <w:pStyle w:val="ListBullet"/>
      </w:pPr>
      <w:r>
        <w:t>Extended illness (beyond 15 consecutive days) may qualify for short‑term medical leave up to 60 days at 75 % of base salary, subject to HR approval.</w:t>
      </w:r>
    </w:p>
    <w:p>
      <w:pPr>
        <w:pStyle w:val="ListBullet"/>
      </w:pPr>
      <w:r>
        <w:t>Long‑term illness cases are handled in coordination with the insurance provider and applicable labour laws.</w:t>
      </w:r>
    </w:p>
    <w:p>
      <w:pPr>
        <w:pStyle w:val="Heading2"/>
      </w:pPr>
      <w:r>
        <w:t>Maternity, Paternity and Family Leave</w:t>
      </w:r>
    </w:p>
    <w:p>
      <w:pPr>
        <w:pStyle w:val="ListBullet"/>
      </w:pPr>
      <w:r>
        <w:t>Maternity Leave: 26 weeks paid leave as per the Maternity Benefit (Amendment) Act, 2017.</w:t>
      </w:r>
    </w:p>
    <w:p>
      <w:pPr>
        <w:pStyle w:val="ListBullet"/>
      </w:pPr>
      <w:r>
        <w:t>Paternity Leave: 10 working days with full pay within 3 months of childbirth.</w:t>
      </w:r>
    </w:p>
    <w:p>
      <w:pPr>
        <w:pStyle w:val="ListBullet"/>
      </w:pPr>
      <w:r>
        <w:t>Adoption Leave: 12 weeks for adoptive mothers of children below 3 months of age.</w:t>
      </w:r>
    </w:p>
    <w:p>
      <w:pPr>
        <w:pStyle w:val="ListBullet"/>
      </w:pPr>
      <w:r>
        <w:t>Family Care Leave: 5 paid days annually for dependent or elder care needs.</w:t>
      </w:r>
    </w:p>
    <w:p>
      <w:pPr>
        <w:pStyle w:val="Heading2"/>
      </w:pPr>
      <w:r>
        <w:t>Workplace Injury or Accident</w:t>
      </w:r>
    </w:p>
    <w:p>
      <w:pPr>
        <w:pStyle w:val="ListBullet"/>
      </w:pPr>
      <w:r>
        <w:t>All workplace injuries must be reported immediately to the reporting manager and HR.</w:t>
      </w:r>
    </w:p>
    <w:p>
      <w:pPr>
        <w:pStyle w:val="ListBullet"/>
      </w:pPr>
      <w:r>
        <w:t>The company’s Workmen Compensation Insurance covers medical expenses and wage replacement as per the Employees’ Compensation Act, 1923.</w:t>
      </w:r>
    </w:p>
    <w:p>
      <w:pPr>
        <w:pStyle w:val="ListBullet"/>
      </w:pPr>
      <w:r>
        <w:t>Accidents during official travel are covered under the group personal accident policy.</w:t>
      </w:r>
    </w:p>
    <w:p>
      <w:pPr>
        <w:pStyle w:val="Heading2"/>
      </w:pPr>
      <w:r>
        <w:t>Return‑to‑Work Procedure</w:t>
      </w:r>
    </w:p>
    <w:p>
      <w:pPr>
        <w:pStyle w:val="ListBullet"/>
      </w:pPr>
      <w:r>
        <w:t>Employees returning after long medical leave must submit a Fitness Certificate from a registered medical practitioner.</w:t>
      </w:r>
    </w:p>
    <w:p>
      <w:pPr>
        <w:pStyle w:val="ListBullet"/>
      </w:pPr>
      <w:r>
        <w:t>A phased return or modified work schedule may be arranged on medical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