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Versicherungs- und Krankheitsregelung – Unique Academy Schweiz (aktualisiert)</w:t>
      </w:r>
    </w:p>
    <w:p>
      <w:r>
        <w:t>Gültig für: Unique Academy Schweiz – Standort Zürich</w:t>
        <w:br/>
        <w:t>Stand: November 2025</w:t>
        <w:br/>
      </w:r>
    </w:p>
    <w:p>
      <w:pPr>
        <w:pStyle w:val="Heading2"/>
      </w:pPr>
      <w:r>
        <w:t>Grundsatz</w:t>
      </w:r>
    </w:p>
    <w:p>
      <w:r>
        <w:t>Diese Richtlinie regelt die Versicherungsleistungen, Lohnfortzahlung im Krankheitsfall und Unfallversicherung der Unique Academy Schweiz. Alle Bestimmungen basieren auf schweizerischem Recht (OR, UVG, KVG, BVG) sowie internen Zusatzleistungen.</w:t>
      </w:r>
    </w:p>
    <w:p>
      <w:pPr>
        <w:pStyle w:val="Heading2"/>
      </w:pPr>
      <w:r>
        <w:t>Gesetzliche Sozialversicherungen</w:t>
      </w:r>
    </w:p>
    <w:p>
      <w:pPr>
        <w:pStyle w:val="ListBullet"/>
      </w:pPr>
      <w:r>
        <w:t>AHV/IV/EO: Obligatorisch, Beiträge je zur Hälfte von Arbeitgeber und Arbeitnehmer getragen.</w:t>
      </w:r>
    </w:p>
    <w:p>
      <w:pPr>
        <w:pStyle w:val="ListBullet"/>
      </w:pPr>
      <w:r>
        <w:t>ALV: Beiträge bis zum gesetzlich festgelegten Lohnmaximum (Stand 2025: CHF 148’200).</w:t>
      </w:r>
    </w:p>
    <w:p>
      <w:pPr>
        <w:pStyle w:val="ListBullet"/>
      </w:pPr>
      <w:r>
        <w:t>BVG: Arbeitgeber übernimmt mindestens 50 % der Pensionskassenbeiträge.</w:t>
      </w:r>
    </w:p>
    <w:p>
      <w:pPr>
        <w:pStyle w:val="ListBullet"/>
      </w:pPr>
      <w:r>
        <w:t>UVG: Berufsunfallversicherung durch Arbeitgeber, Nichtberufsunfall durch Arbeitnehmer.</w:t>
      </w:r>
    </w:p>
    <w:p>
      <w:pPr>
        <w:pStyle w:val="Heading2"/>
      </w:pPr>
      <w:r>
        <w:t>Krankheit und Krankentaggeldversicherung</w:t>
      </w:r>
    </w:p>
    <w:p>
      <w:pPr>
        <w:pStyle w:val="ListBullet"/>
      </w:pPr>
      <w:r>
        <w:t>Kollektive Krankentaggeldversicherung (KTG) deckt 80 % des Lohnes ab dem 3. Krankheitstag bis zu 720 Tagen.</w:t>
      </w:r>
    </w:p>
    <w:p>
      <w:pPr>
        <w:pStyle w:val="ListBullet"/>
      </w:pPr>
      <w:r>
        <w:t>Während der ersten zwei Krankheitstage wird der Lohn zu 100 % durch den Arbeitgeber fortgezahlt.</w:t>
      </w:r>
    </w:p>
    <w:p>
      <w:pPr>
        <w:pStyle w:val="ListBullet"/>
      </w:pPr>
      <w:r>
        <w:t>Ein Arztzeugnis ist ab dem dritten Krankheitstag erforderlich.</w:t>
      </w:r>
    </w:p>
    <w:p>
      <w:pPr>
        <w:pStyle w:val="ListBullet"/>
      </w:pPr>
      <w:r>
        <w:t>Längere Erkrankungen werden durch HR begleitet (Rückkehr- oder Reintegrationsprogramm).</w:t>
      </w:r>
    </w:p>
    <w:p>
      <w:pPr>
        <w:pStyle w:val="Heading2"/>
      </w:pPr>
      <w:r>
        <w:t>Unfallversicherung</w:t>
      </w:r>
    </w:p>
    <w:p>
      <w:pPr>
        <w:pStyle w:val="ListBullet"/>
      </w:pPr>
      <w:r>
        <w:t>Alle Mitarbeitenden sind gemäss UVG bei der SUVA versichert.</w:t>
      </w:r>
    </w:p>
    <w:p>
      <w:pPr>
        <w:pStyle w:val="ListBullet"/>
      </w:pPr>
      <w:r>
        <w:t>Lohnfortzahlung von 80 % ab dem 3. Unfalltag, 100 % während der ersten zwei Tage.</w:t>
      </w:r>
    </w:p>
    <w:p>
      <w:pPr>
        <w:pStyle w:val="ListBullet"/>
      </w:pPr>
      <w:r>
        <w:t>Unfälle müssen innerhalb von 24 Stunden an HR gemeldet werden.</w:t>
      </w:r>
    </w:p>
    <w:p>
      <w:pPr>
        <w:pStyle w:val="ListBullet"/>
      </w:pPr>
      <w:r>
        <w:t>Bei Berufskrankheiten erfolgt eine sofortige Abklärung durch den Vertrauensarzt.</w:t>
      </w:r>
    </w:p>
    <w:p>
      <w:pPr>
        <w:pStyle w:val="Heading2"/>
      </w:pPr>
      <w:r>
        <w:t>Mutterschaft, Vaterschaft und Familienurlaub</w:t>
      </w:r>
    </w:p>
    <w:p>
      <w:pPr>
        <w:pStyle w:val="ListBullet"/>
      </w:pPr>
      <w:r>
        <w:t>Mutterschaft: 16 Wochen bei 100 % Lohnfortzahlung.</w:t>
      </w:r>
    </w:p>
    <w:p>
      <w:pPr>
        <w:pStyle w:val="ListBullet"/>
      </w:pPr>
      <w:r>
        <w:t>Vaterschaft: 4 Wochen bei 100 % Lohnfortzahlung, flexibel nutzbar.</w:t>
      </w:r>
    </w:p>
    <w:p>
      <w:pPr>
        <w:pStyle w:val="ListBullet"/>
      </w:pPr>
      <w:r>
        <w:t>Pflegeurlaub: 10 bezahlte Tage pro Jahr für kranke Kinder oder Angehörige.</w:t>
      </w:r>
    </w:p>
    <w:p>
      <w:pPr>
        <w:pStyle w:val="ListBullet"/>
      </w:pPr>
      <w:r>
        <w:t>Eltern können unbezahlten Urlaub für bis zu 3 Monate beantragen (nach 2 Dienstjahren).</w:t>
      </w:r>
    </w:p>
    <w:p>
      <w:pPr>
        <w:pStyle w:val="Heading2"/>
      </w:pPr>
      <w:r>
        <w:t>Todesfall- und Invaliditätsleistungen</w:t>
      </w:r>
    </w:p>
    <w:p>
      <w:pPr>
        <w:pStyle w:val="ListBullet"/>
      </w:pPr>
      <w:r>
        <w:t>Todesfallversicherung: Auszahlung in Höhe von 1,5 × Jahresgehalt an die Hinterbliebenen.</w:t>
      </w:r>
    </w:p>
    <w:p>
      <w:pPr>
        <w:pStyle w:val="ListBullet"/>
      </w:pPr>
      <w:r>
        <w:t>Invaliditätsversicherung gemäss BVG mit 60 % des versicherten Lohnes bei dauerhafter Erwerbsunfähigkeit.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