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Insurance &amp; Sick Leave Policy (U.S.) — Unique Academy</w:t>
      </w:r>
    </w:p>
    <w:p>
      <w:r>
        <w:rPr>
          <w:i/>
        </w:rPr>
        <w:t>Applies to U.S.-based employees of Unique Academy. Where state or local law provides greater benefits, the higher standard applies.</w:t>
      </w:r>
    </w:p>
    <w:p>
      <w:pPr>
        <w:pStyle w:val="Heading2"/>
      </w:pPr>
      <w:r>
        <w:t>Medical, Dental, Vision – Coverage Details</w:t>
      </w:r>
    </w:p>
    <w:p>
      <w:pPr>
        <w:pStyle w:val="ListBullet"/>
      </w:pPr>
      <w:r>
        <w:t>Medical PPO (example): $750 individual deductible / $1,500 family; coinsurance 20% after deductible; OOP max $5,000 individual / $10,000 family.</w:t>
      </w:r>
    </w:p>
    <w:p>
      <w:pPr>
        <w:pStyle w:val="ListBullet"/>
      </w:pPr>
      <w:r>
        <w:t>Medical HDHP (example): $2,000 individual deductible / $4,000 family; OOP max $6,500 individual / $13,000 family; HSA eligible with company contributions (see Benefits Policy).</w:t>
      </w:r>
    </w:p>
    <w:p>
      <w:pPr>
        <w:pStyle w:val="ListBullet"/>
      </w:pPr>
      <w:r>
        <w:t>Telehealth: $0 copay for in‑network virtual care on select plans.</w:t>
      </w:r>
    </w:p>
    <w:p>
      <w:pPr>
        <w:pStyle w:val="ListBullet"/>
      </w:pPr>
      <w:r>
        <w:t>Dental: Preventive care covered at 100% in‑network; orthodontia subject to lifetime maximum.</w:t>
      </w:r>
    </w:p>
    <w:p>
      <w:pPr>
        <w:pStyle w:val="ListBullet"/>
      </w:pPr>
      <w:r>
        <w:t>Vision: Standard copays apply for exams and materials per SBC.</w:t>
      </w:r>
    </w:p>
    <w:p>
      <w:pPr>
        <w:pStyle w:val="Heading2"/>
      </w:pPr>
      <w:r>
        <w:t>Company‑Paid Protection Benefits</w:t>
      </w:r>
    </w:p>
    <w:p>
      <w:pPr>
        <w:pStyle w:val="ListBullet"/>
      </w:pPr>
      <w:r>
        <w:t>Short‑Term Disability (STD): Replaces 60% of weekly earnings up to $1,500/week for up to 13 weeks after 7‑day waiting period (state plans supersede where applicable).</w:t>
      </w:r>
    </w:p>
    <w:p>
      <w:pPr>
        <w:pStyle w:val="ListBullet"/>
      </w:pPr>
      <w:r>
        <w:t>Long‑Term Disability (LTD): Replaces 60% of monthly earnings up to $10,000/month after 90 days of disability.</w:t>
      </w:r>
    </w:p>
    <w:p>
      <w:pPr>
        <w:pStyle w:val="ListBullet"/>
      </w:pPr>
      <w:r>
        <w:t>Basic Life/AD&amp;D: Company‑paid coverage equal to 1x annual base salary (min $50,000, max $250,000). Optional buy‑up available at group rates.</w:t>
      </w:r>
    </w:p>
    <w:p>
      <w:pPr>
        <w:pStyle w:val="ListBullet"/>
      </w:pPr>
      <w:r>
        <w:t>Workers’ Compensation: Provided per state law for work‑related injuries/illnesses.</w:t>
      </w:r>
    </w:p>
    <w:p>
      <w:pPr>
        <w:pStyle w:val="Heading2"/>
      </w:pPr>
      <w:r>
        <w:t>Sick Leave &amp; Attendance</w:t>
      </w:r>
    </w:p>
    <w:p>
      <w:r>
        <w:t>Unique Academy provides paid sick leave separate from PTO to support public health compliance and employee well‑being.</w:t>
      </w:r>
    </w:p>
    <w:p>
      <w:pPr>
        <w:pStyle w:val="ListBullet"/>
      </w:pPr>
      <w:r>
        <w:t>Allocation: 56 hours (7 days) of paid sick leave per year for eligible employees, front‑loaded at Jan 1; new hires receive a prorated amount.</w:t>
      </w:r>
    </w:p>
    <w:p>
      <w:pPr>
        <w:pStyle w:val="ListBullet"/>
      </w:pPr>
      <w:r>
        <w:t>Permitted Uses: Employee or family member illness, medical appointments, preventive care, domestic violence/sexual assault/stalking situations as protected by law.</w:t>
      </w:r>
    </w:p>
    <w:p>
      <w:pPr>
        <w:pStyle w:val="ListBullet"/>
      </w:pPr>
      <w:r>
        <w:t>Increment: Sick time may be used in 1‑hour increments.</w:t>
      </w:r>
    </w:p>
    <w:p>
      <w:pPr>
        <w:pStyle w:val="ListBullet"/>
      </w:pPr>
      <w:r>
        <w:t>Carryover: Up to 40 hours carry over to the next year; annual usage capped at 56 hours.</w:t>
      </w:r>
    </w:p>
    <w:p>
      <w:pPr>
        <w:pStyle w:val="ListBullet"/>
      </w:pPr>
      <w:r>
        <w:t>Documentation: A doctor’s note may be required for absences of 3 or more consecutive workdays, or where law permits.</w:t>
      </w:r>
    </w:p>
    <w:p>
      <w:r>
        <w:rPr>
          <w:i/>
        </w:rPr>
        <w:t>State or municipal paid sick leave laws (e.g., CA, NY, WA, MA) may impose different accrual, carryover, or usage rules. Where conflicts arise, the more generous or legally required standard applies.</w:t>
      </w:r>
    </w:p>
    <w:p>
      <w:pPr>
        <w:pStyle w:val="Heading2"/>
      </w:pPr>
      <w:r>
        <w:t>Family &amp; Medical Leave (FMLA)</w:t>
      </w:r>
    </w:p>
    <w:p>
      <w:r>
        <w:t>Eligible employees (12 months service, 1,250 hours worked in the prior 12 months, at a site with 50+ employees within 75 miles) may take up to 12 workweeks of unpaid, job‑protected leave in a 12‑month period for qualifying reasons (or 26 weeks for military caregiver leave).</w:t>
      </w:r>
    </w:p>
    <w:p>
      <w:pPr>
        <w:pStyle w:val="ListBullet"/>
      </w:pPr>
      <w:r>
        <w:t>Benefits Continuation: Company continues health coverage under same terms during FMLA.</w:t>
      </w:r>
    </w:p>
    <w:p>
      <w:pPr>
        <w:pStyle w:val="ListBullet"/>
      </w:pPr>
      <w:r>
        <w:t>Substitution of Paid Leave: Employees may use available PTO/sick leave to receive pay during FMLA.</w:t>
      </w:r>
    </w:p>
    <w:p>
      <w:pPr>
        <w:pStyle w:val="ListBullet"/>
      </w:pPr>
      <w:r>
        <w:t>Notice: 30 days’ advance notice when foreseeable; otherwise as soon as practicable.</w:t>
      </w:r>
    </w:p>
    <w:p>
      <w:pPr>
        <w:pStyle w:val="ListBullet"/>
      </w:pPr>
      <w:r>
        <w:t>Certification: Medical certification may be required; recertification per law.</w:t>
      </w:r>
    </w:p>
    <w:p>
      <w:pPr>
        <w:pStyle w:val="Heading2"/>
      </w:pPr>
      <w:r>
        <w:t>Reporting Illness, Injury, or Leave</w:t>
      </w:r>
    </w:p>
    <w:p>
      <w:pPr>
        <w:pStyle w:val="ListBullet"/>
      </w:pPr>
      <w:r>
        <w:t>Call or message your manager and record the absence in the HRIS before your shift starts.</w:t>
      </w:r>
    </w:p>
    <w:p>
      <w:pPr>
        <w:pStyle w:val="ListBullet"/>
      </w:pPr>
      <w:r>
        <w:t>For work‑related injuries: Seek medical attention immediately, notify your manager, and file a workers’ compensation report within 24 hours.</w:t>
      </w:r>
    </w:p>
    <w:p>
      <w:pPr>
        <w:pStyle w:val="ListBullet"/>
      </w:pPr>
      <w:r>
        <w:t>For non‑work injuries/illness: Follow provider guidance; if hospitalized, notify HR within 24 hours if possible.</w:t>
      </w:r>
    </w:p>
    <w:p>
      <w:pPr>
        <w:pStyle w:val="Heading2"/>
      </w:pPr>
      <w:r>
        <w:t>Return‑to‑Work &amp; Accommodations</w:t>
      </w:r>
    </w:p>
    <w:p>
      <w:pPr>
        <w:pStyle w:val="ListBullet"/>
      </w:pPr>
      <w:r>
        <w:t>Fitness‑for‑duty release may be required for extended absences.</w:t>
      </w:r>
    </w:p>
    <w:p>
      <w:pPr>
        <w:pStyle w:val="ListBullet"/>
      </w:pPr>
      <w:r>
        <w:t>Transitional duty or modified schedules may be offered when medically advisable.</w:t>
      </w:r>
    </w:p>
    <w:p>
      <w:pPr>
        <w:pStyle w:val="ListBullet"/>
      </w:pPr>
      <w:r>
        <w:t>Reasonable accommodations are available under the Americans with Disabilities Act (ADA). Contact HR to initiate the interactive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