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 Policy – Unique Academy India</w:t>
      </w:r>
    </w:p>
    <w:p>
      <w:r>
        <w:t>Applies to: Unique Academy India – Hyderabad Campus</w:t>
        <w:br/>
        <w:t>Effective Date: November 2025</w:t>
        <w:br/>
      </w:r>
    </w:p>
    <w:p>
      <w:pPr>
        <w:pStyle w:val="Heading2"/>
      </w:pPr>
      <w:r>
        <w:t>Purpose and Scope</w:t>
      </w:r>
    </w:p>
    <w:p>
      <w:r>
        <w:t>This policy outlines the benefits and entitlements available to employees of Unique Academy India, Hyderabad Campus. It is designed to promote well-being, professional development, and work-life balance while complying with Indian labour laws.</w:t>
      </w:r>
    </w:p>
    <w:p>
      <w:pPr>
        <w:pStyle w:val="Heading2"/>
      </w:pPr>
      <w:r>
        <w:t>Working Hours and Leave</w:t>
      </w:r>
    </w:p>
    <w:p>
      <w:pPr>
        <w:pStyle w:val="ListBullet"/>
      </w:pPr>
      <w:r>
        <w:t>Standard working hours: 9:00 AM – 6:00 PM, Monday to Friday (45 hours per week).</w:t>
      </w:r>
    </w:p>
    <w:p>
      <w:pPr>
        <w:pStyle w:val="ListBullet"/>
      </w:pPr>
      <w:r>
        <w:t>Annual Leave: 24 paid leave days per year, accrued monthly. Unused leave up to 12 days can be carried forward to the next calendar year.</w:t>
      </w:r>
    </w:p>
    <w:p>
      <w:pPr>
        <w:pStyle w:val="ListBullet"/>
      </w:pPr>
      <w:r>
        <w:t>Public Holidays: 10 per year as per the Telangana government holiday list.</w:t>
      </w:r>
    </w:p>
    <w:p>
      <w:pPr>
        <w:pStyle w:val="ListBullet"/>
      </w:pPr>
      <w:r>
        <w:t>Casual Leave: 6 days per year (non‑accumulative).</w:t>
      </w:r>
    </w:p>
    <w:p>
      <w:pPr>
        <w:pStyle w:val="ListBullet"/>
      </w:pPr>
      <w:r>
        <w:t>Sick Leave: 12 paid days per year with medical certificate required for absences exceeding 3 days.</w:t>
      </w:r>
    </w:p>
    <w:p>
      <w:pPr>
        <w:pStyle w:val="Heading2"/>
      </w:pPr>
      <w:r>
        <w:t>Health and Wellness Benefits</w:t>
      </w:r>
    </w:p>
    <w:p>
      <w:pPr>
        <w:pStyle w:val="ListBullet"/>
      </w:pPr>
      <w:r>
        <w:t>Group Health Insurance: ₹5 lakh coverage for employee + dependents (spouse and up to 2 children).</w:t>
      </w:r>
    </w:p>
    <w:p>
      <w:pPr>
        <w:pStyle w:val="ListBullet"/>
      </w:pPr>
      <w:r>
        <w:t>Parental Insurance Add‑on available at subsidized premium rates.</w:t>
      </w:r>
    </w:p>
    <w:p>
      <w:pPr>
        <w:pStyle w:val="ListBullet"/>
      </w:pPr>
      <w:r>
        <w:t>Annual Health Check‑up: reimbursed up to ₹3,000 per employee.</w:t>
      </w:r>
    </w:p>
    <w:p>
      <w:pPr>
        <w:pStyle w:val="ListBullet"/>
      </w:pPr>
      <w:r>
        <w:t>Wellness Allowance: ₹10,000 per year reimbursable for fitness memberships, yoga, or mental health counselling.</w:t>
      </w:r>
    </w:p>
    <w:p>
      <w:pPr>
        <w:pStyle w:val="Heading2"/>
      </w:pPr>
      <w:r>
        <w:t>Retirement and Savings</w:t>
      </w:r>
    </w:p>
    <w:p>
      <w:pPr>
        <w:pStyle w:val="ListBullet"/>
      </w:pPr>
      <w:r>
        <w:t>Employees are enrolled in the Employees’ Provident Fund (EPF) with a 12 % employer contribution as per statutory norms.</w:t>
      </w:r>
    </w:p>
    <w:p>
      <w:pPr>
        <w:pStyle w:val="ListBullet"/>
      </w:pPr>
      <w:r>
        <w:t>Gratuity payable after 5 years of continuous service in accordance with the Payment of Gratuity Act, 1972.</w:t>
      </w:r>
    </w:p>
    <w:p>
      <w:pPr>
        <w:pStyle w:val="ListBullet"/>
      </w:pPr>
      <w:r>
        <w:t>Employees covered under Employees’ State Insurance (ESI) where applicable.</w:t>
      </w:r>
    </w:p>
    <w:p>
      <w:pPr>
        <w:pStyle w:val="Heading2"/>
      </w:pPr>
      <w:r>
        <w:t>Professional Development</w:t>
      </w:r>
    </w:p>
    <w:p>
      <w:pPr>
        <w:pStyle w:val="ListBullet"/>
      </w:pPr>
      <w:r>
        <w:t>Annual Learning Budget: ₹25,000 per year for courses, certifications, or conferences approved by the reporting manager.</w:t>
      </w:r>
    </w:p>
    <w:p>
      <w:pPr>
        <w:pStyle w:val="ListBullet"/>
      </w:pPr>
      <w:r>
        <w:t>Skill Development Reimbursement: 50 % of fees for technical or management certifications upon successful completion.</w:t>
      </w:r>
    </w:p>
    <w:p>
      <w:pPr>
        <w:pStyle w:val="ListBullet"/>
      </w:pPr>
      <w:r>
        <w:t>Employees may avail study leave up to 5 working days per year for approved professional exams.</w:t>
      </w:r>
    </w:p>
    <w:p>
      <w:pPr>
        <w:pStyle w:val="Heading2"/>
      </w:pPr>
      <w:r>
        <w:t>Transportation and Meal Benefits</w:t>
      </w:r>
    </w:p>
    <w:p>
      <w:pPr>
        <w:pStyle w:val="ListBullet"/>
      </w:pPr>
      <w:r>
        <w:t>Monthly transportation allowance of ₹2,500 or access to company‑arranged shuttle services.</w:t>
      </w:r>
    </w:p>
    <w:p>
      <w:pPr>
        <w:pStyle w:val="ListBullet"/>
      </w:pPr>
      <w:r>
        <w:t>Meal card benefit: ₹1,800 per month exempt under Section 10(14) of the Income Tax Act.</w:t>
      </w:r>
    </w:p>
    <w:p>
      <w:pPr>
        <w:pStyle w:val="ListBullet"/>
      </w:pPr>
      <w:r>
        <w:t>Reimbursement of local travel expenses for official duties as per company travel policy.</w:t>
      </w:r>
    </w:p>
    <w:p>
      <w:pPr>
        <w:pStyle w:val="Heading2"/>
      </w:pPr>
      <w:r>
        <w:t>Other Perks</w:t>
      </w:r>
    </w:p>
    <w:p>
      <w:pPr>
        <w:pStyle w:val="ListBullet"/>
      </w:pPr>
      <w:r>
        <w:t>Festival Bonus: One‑month basic pay annually, paid before Diwali.</w:t>
      </w:r>
    </w:p>
    <w:p>
      <w:pPr>
        <w:pStyle w:val="ListBullet"/>
      </w:pPr>
      <w:r>
        <w:t>Employee Recognition Awards quarterly (₹5,000 – ₹10,000 value).</w:t>
      </w:r>
    </w:p>
    <w:p>
      <w:pPr>
        <w:pStyle w:val="ListBullet"/>
      </w:pPr>
      <w:r>
        <w:t>Team outings, volunteering days, and annual family events sponsored by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