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dft3_per_participant_text_intro_situation.docx" ContentType="application/vnd.openxmlformats-officedocument.wordprocessingml.document.main+xml"/>
  <Override PartName="/word/dft3_per_participant_text_intro_method.docx" ContentType="application/vnd.openxmlformats-officedocument.wordprocessingml.document.main+xml"/>
  <Override PartName="/word/dft3_per_participant_text_intro_preamble-sectionZ.docx" ContentType="application/vnd.openxmlformats-officedocument.wordprocessingml.document.main+xml"/>
  <Override PartName="/word/dft3_per_participant_text_intro_sectionA.docx" ContentType="application/vnd.openxmlformats-officedocument.wordprocessingml.document.main+xml"/>
  <Override PartName="/word/dft3_per_participant_text_intro_sectionB.docx" ContentType="application/vnd.openxmlformats-officedocument.wordprocessingml.document.main+xml"/>
  <Override PartName="/word/dft3_per_participant_text_intro_sectionC.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Delphi</w:t>
      </w:r>
      <w:r>
        <w:t xml:space="preserve"> </w:t>
      </w:r>
      <w:r>
        <w:t xml:space="preserve">fast-track</w:t>
      </w:r>
      <w:r>
        <w:t xml:space="preserve"> </w:t>
      </w:r>
      <w:r>
        <w:t xml:space="preserve">–</w:t>
      </w:r>
      <w:r>
        <w:t xml:space="preserve"> </w:t>
      </w:r>
      <w:r>
        <w:t xml:space="preserve">Puff</w:t>
      </w:r>
      <w:r>
        <w:t xml:space="preserve"> </w:t>
      </w:r>
      <w:r>
        <w:t xml:space="preserve">Bars</w:t>
      </w:r>
      <w:r>
        <w:t xml:space="preserve"> </w:t>
      </w:r>
      <w:r>
        <w:t xml:space="preserve">–</w:t>
      </w:r>
      <w:r>
        <w:t xml:space="preserve"> </w:t>
      </w:r>
      <w:r>
        <w:t xml:space="preserve">3e</w:t>
      </w:r>
      <w:r>
        <w:t xml:space="preserve"> </w:t>
      </w:r>
      <w:r>
        <w:t xml:space="preserve">étape</w:t>
      </w:r>
    </w:p>
    <w:p>
      <w:pPr>
        <w:pStyle w:val="Sous-titre"/>
      </w:pPr>
      <w:r>
        <w:t xml:space="preserve">Rapport</w:t>
      </w:r>
      <w:r>
        <w:t xml:space="preserve"> </w:t>
      </w:r>
      <w:r>
        <w:t xml:space="preserve">pour</w:t>
      </w:r>
      <w:r>
        <w:t xml:space="preserve"> </w:t>
      </w:r>
      <w:r>
        <w:t xml:space="preserve">participant∙e</w:t>
      </w:r>
      <w:r>
        <w:t xml:space="preserve"> </w:t>
      </w:r>
      <w:r>
        <w:t xml:space="preserve">14</w:t>
      </w:r>
    </w:p>
    <w:p>
      <w:pPr>
        <w:pStyle w:val="Author"/>
      </w:pPr>
      <w:r>
        <w:t xml:space="preserve">Camille</w:t>
      </w:r>
      <w:r>
        <w:t xml:space="preserve"> </w:t>
      </w:r>
      <w:r>
        <w:t xml:space="preserve">Velarde</w:t>
      </w:r>
      <w:r>
        <w:t xml:space="preserve"> </w:t>
      </w:r>
      <w:r>
        <w:t xml:space="preserve">Crézé,</w:t>
      </w:r>
      <w:r>
        <w:t xml:space="preserve"> </w:t>
      </w:r>
      <w:r>
        <w:t xml:space="preserve">Luc</w:t>
      </w:r>
      <w:r>
        <w:t xml:space="preserve"> </w:t>
      </w:r>
      <w:r>
        <w:t xml:space="preserve">Lebon,</w:t>
      </w:r>
      <w:r>
        <w:t xml:space="preserve"> </w:t>
      </w:r>
      <w:r>
        <w:t xml:space="preserve">Vincent</w:t>
      </w:r>
      <w:r>
        <w:t xml:space="preserve"> </w:t>
      </w:r>
      <w:r>
        <w:t xml:space="preserve">Faivre,</w:t>
      </w:r>
      <w:r>
        <w:t xml:space="preserve"> </w:t>
      </w:r>
      <w:r>
        <w:t xml:space="preserve">Olivier</w:t>
      </w:r>
      <w:r>
        <w:t xml:space="preserve"> </w:t>
      </w:r>
      <w:r>
        <w:t xml:space="preserve">Duperrex</w:t>
      </w:r>
      <w:r>
        <w:t xml:space="preserve"> </w:t>
      </w:r>
      <w:r>
        <w:t xml:space="preserve">-</w:t>
      </w:r>
      <w:r>
        <w:t xml:space="preserve"> </w:t>
      </w:r>
      <w:r>
        <w:t xml:space="preserve">Unisanté</w:t>
      </w:r>
    </w:p>
    <w:p>
      <w:pPr>
        <w:pStyle w:val="Date"/>
      </w:pPr>
      <w:r>
        <w:t xml:space="preserve">05</w:t>
      </w:r>
      <w:r>
        <w:t xml:space="preserve"> </w:t>
      </w:r>
      <w:r>
        <w:t xml:space="preserve">février</w:t>
      </w:r>
      <w:r>
        <w:t xml:space="preserve"> </w:t>
      </w:r>
      <w:r>
        <w:t xml:space="preserve">2024</w:t>
      </w:r>
    </w:p>
    <w:p>
      <w:pPr>
        <w:pStyle w:val="FirstParagraph"/>
      </w:pPr>
      <w:r>
        <w:t xml:space="preserve">Destinataire de ce rapport:</w:t>
      </w:r>
      <w:r>
        <w:t xml:space="preserve"> </w:t>
      </w:r>
      <w:hyperlink r:id="rId20">
        <w:r>
          <w:rPr>
            <w:rStyle w:val="Lienhypertexte"/>
          </w:rPr>
          <w:t xml:space="preserve">participant_14@some.email</w:t>
        </w:r>
      </w:hyperlink>
    </w:p>
    <w:bookmarkStart w:id="21" w:name="situation-et-objectif"/>
    <w:p>
      <w:pPr>
        <w:pStyle w:val="Titre1"/>
      </w:pPr>
      <w:r>
        <w:rPr>
          <w:rStyle w:val="SectionNumber"/>
        </w:rPr>
        <w:t xml:space="preserve">1</w:t>
      </w:r>
      <w:r>
        <w:tab/>
      </w:r>
      <w:r>
        <w:t xml:space="preserve">Situation et objectif</w:t>
      </w:r>
    </w:p>
    <w:altChunk r:id="rId21"/>
    <w:bookmarkEnd w:id="21"/>
    <w:bookmarkStart w:id="22" w:name="méthode"/>
    <w:p>
      <w:pPr>
        <w:pStyle w:val="Titre1"/>
      </w:pPr>
      <w:r>
        <w:rPr>
          <w:rStyle w:val="SectionNumber"/>
        </w:rPr>
        <w:t xml:space="preserve">2</w:t>
      </w:r>
      <w:r>
        <w:tab/>
      </w:r>
      <w:r>
        <w:t xml:space="preserve">Méthode</w:t>
      </w:r>
    </w:p>
    <w:altChunk r:id="rId22"/>
    <w:p>
      <w:r>
        <w:br w:type="page"/>
      </w:r>
    </w:p>
    <w:bookmarkEnd w:id="22"/>
    <w:bookmarkStart w:id="23" w:name="toc"/>
    <w:p>
      <w:pPr>
        <w:pStyle w:val="Titre1"/>
      </w:pPr>
      <w:r>
        <w:rPr>
          <w:rStyle w:val="SectionNumber"/>
        </w:rPr>
        <w:t xml:space="preserve">3</w:t>
      </w:r>
      <w:r>
        <w:tab/>
      </w:r>
      <w:r>
        <w:t xml:space="preserve">Table des matières</w:t>
      </w:r>
    </w:p>
    <w:p>
      <w:pPr>
        <w:pStyle w:val="FirstParagraph"/>
      </w:pP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23"/>
    <w:bookmarkStart w:id="26" w:name="préambule"/>
    <w:p>
      <w:pPr>
        <w:pStyle w:val="Titre1"/>
      </w:pPr>
      <w:r>
        <w:rPr>
          <w:rStyle w:val="SectionNumber"/>
        </w:rPr>
        <w:t xml:space="preserve">4</w:t>
      </w:r>
      <w:r>
        <w:tab/>
      </w:r>
      <w:r>
        <w:t xml:space="preserve">Préambule</w:t>
      </w:r>
    </w:p>
    <w:altChunk r:id="rId23"/>
    <w:bookmarkStart w:id="24" w:name="questions-de-type-1"/>
    <w:p>
      <w:pPr>
        <w:pStyle w:val="Titre2"/>
      </w:pPr>
      <w:r>
        <w:rPr>
          <w:rStyle w:val="SectionNumber"/>
        </w:rPr>
        <w:t xml:space="preserve">4.1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 : Les Puff Bars représentent un problème de santé publique en particulier pour les enfants et les jeunes, de par leur attractivité (ciblage marketing) et disponibilité (absence de cadre légal), car ils pourraient représenter une passerelle vers la consommation tabagique via le développement d'une addiction à la nicotine.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 : Les Puff Bars représentent un problème de santé publique potentiel, en raison de l'absence de connaissances de leurs effets à long-terme sur la santé.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3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3 : Les Puff Bars représentent un problème d'ordre environnemental/écologique avant tout, en raison de leur propriété à usage unique.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3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7" name=""/>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4 : Tout comme les e-cigarettes réutilisables, les Puff Bars représentent une opportunité de réduction du risque par rapport au tabac combustible, et pourraient être utilisées par les fumeurs (adultes) en tant qu'outil d'aide au sevrage tabagique.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9" name=""/>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1" name=""/>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3" name=""/>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3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5 : D'autres modèles de e-cigarettes (réutilisables) sont autorisés sur le marché. Dès lors, les Puff Bars représentent plus de risques que de bénéfices pour la santé publique, et leur vente devrait de ce fait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25" name=""/>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3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7" name=""/>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9" name=""/>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6 : La situation actuelle en Suisse (2022) ne protège pas la population de manière satisfaisante. Cependant, il n'y a pas de nécessité d'interdire totalement la vente des Puff Bars, si la directive européenne et la future LPTab suisse sont strictement appliquées.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[2.75-7]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1" name=""/>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4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3" name=""/>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5" name=""/>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r:embed="rId4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4 -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5 -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6 -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bl>
    <w:p>
      <w:pPr>
        <w:pStyle w:val="Corpsdetexte"/>
      </w:pPr>
    </w:p>
    <w:p>
      <w:r>
        <w:br w:type="page"/>
      </w:r>
    </w:p>
    <w:bookmarkEnd w:id="24"/>
    <w:bookmarkStart w:id="25" w:name="commentaires-sur-préambule"/>
    <w:p>
      <w:pPr>
        <w:pStyle w:val="Titre2"/>
      </w:pPr>
      <w:r>
        <w:rPr>
          <w:rStyle w:val="SectionNumber"/>
        </w:rPr>
        <w:t xml:space="preserve">4.2</w:t>
      </w:r>
      <w:r>
        <w:tab/>
      </w:r>
      <w:r>
        <w:t xml:space="preserve">Commentaires sur Préambule</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Préambule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r>
        <w:br w:type="page"/>
      </w:r>
    </w:p>
    <w:bookmarkEnd w:id="25"/>
    <w:bookmarkEnd w:id="26"/>
    <w:bookmarkStart w:id="29" w:name="X479609eeb6eee2d84c22f9b93ebab9169cf9320"/>
    <w:p>
      <w:pPr>
        <w:pStyle w:val="Titre1"/>
      </w:pPr>
      <w:r>
        <w:rPr>
          <w:rStyle w:val="SectionNumber"/>
        </w:rPr>
        <w:t xml:space="preserve">5</w:t>
      </w:r>
      <w:r>
        <w:tab/>
      </w:r>
      <w:r>
        <w:t xml:space="preserve">Section A - Composition du produit &amp; aspects marketing</w:t>
      </w:r>
    </w:p>
    <w:altChunk r:id="rId24"/>
    <w:bookmarkStart w:id="27" w:name="questions-de-type-1-1"/>
    <w:p>
      <w:pPr>
        <w:pStyle w:val="Titre2"/>
      </w:pPr>
      <w:r>
        <w:rPr>
          <w:rStyle w:val="SectionNumber"/>
        </w:rPr>
        <w:t xml:space="preserve">5.1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7 : La réglementation des Puff Bars devrait distinguer les différentes formes de nicotine : sels de nicotine - nicotine issue du plant de tabac vs. nicotine synthétique.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7" name=""/>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r:embed="rId4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9" name=""/>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r:embed="rId4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1" name=""/>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r:embed="rId4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8 : Il ne faudrait pas interdire totalement les arômes, mais il est nécessaire de les limiter en fonction de leur attrait auprès des jeunes (aspects marketing). Les arômes fruités, sucrés, et en lien avec des boissons/aliments alcoolisés et/ou sucrés et les noms attirant particulièrement les jeunes devraient être interdits.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3" name=""/>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r:embed="rId4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5" name=""/>
                  <wp:cNvGraphicFramePr>
                    <a:graphicFrameLocks noChangeAspect="1"/>
                  </wp:cNvGraphicFramePr>
                  <a:graphic>
                    <a:graphicData uri="http://schemas.openxmlformats.org/drawingml/2006/picture">
                      <pic:pic>
                        <pic:nvPicPr>
                          <pic:cNvPr id="46" name=""/>
                          <pic:cNvPicPr>
                            <a:picLocks noChangeAspect="1" noChangeArrowheads="1"/>
                          </pic:cNvPicPr>
                        </pic:nvPicPr>
                        <pic:blipFill>
                          <a:blip r:embed="rId4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7" name=""/>
                  <wp:cNvGraphicFramePr>
                    <a:graphicFrameLocks noChangeAspect="1"/>
                  </wp:cNvGraphicFramePr>
                  <a:graphic>
                    <a:graphicData uri="http://schemas.openxmlformats.org/drawingml/2006/picture">
                      <pic:pic>
                        <pic:nvPicPr>
                          <pic:cNvPr id="48" name=""/>
                          <pic:cNvPicPr>
                            <a:picLocks noChangeAspect="1" noChangeArrowheads="1"/>
                          </pic:cNvPicPr>
                        </pic:nvPicPr>
                        <pic:blipFill>
                          <a:blip r:embed="rId4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9 : Il convient d'interdire les arômes s'ils sont nocifs pour la santé et/ou renforcent le potentiel addictif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9" name=""/>
                  <wp:cNvGraphicFramePr>
                    <a:graphicFrameLocks noChangeAspect="1"/>
                  </wp:cNvGraphicFramePr>
                  <a:graphic>
                    <a:graphicData uri="http://schemas.openxmlformats.org/drawingml/2006/picture">
                      <pic:pic>
                        <pic:nvPicPr>
                          <pic:cNvPr id="50" name=""/>
                          <pic:cNvPicPr>
                            <a:picLocks noChangeAspect="1" noChangeArrowheads="1"/>
                          </pic:cNvPicPr>
                        </pic:nvPicPr>
                        <pic:blipFill>
                          <a:blip r:embed="rId4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1" name=""/>
                  <wp:cNvGraphicFramePr>
                    <a:graphicFrameLocks noChangeAspect="1"/>
                  </wp:cNvGraphicFramePr>
                  <a:graphic>
                    <a:graphicData uri="http://schemas.openxmlformats.org/drawingml/2006/picture">
                      <pic:pic>
                        <pic:nvPicPr>
                          <pic:cNvPr id="52"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3" name=""/>
                  <wp:cNvGraphicFramePr>
                    <a:graphicFrameLocks noChangeAspect="1"/>
                  </wp:cNvGraphicFramePr>
                  <a:graphic>
                    <a:graphicData uri="http://schemas.openxmlformats.org/drawingml/2006/picture">
                      <pic:pic>
                        <pic:nvPicPr>
                          <pic:cNvPr id="54" name=""/>
                          <pic:cNvPicPr>
                            <a:picLocks noChangeAspect="1" noChangeArrowheads="1"/>
                          </pic:cNvPicPr>
                        </pic:nvPicPr>
                        <pic:blipFill>
                          <a:blip r:embed="rId4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10 : La future LPTab prévoit que les emballages des e-cigarettes avec nicotine (y compris les Puff Bars) portent cet avertissement textuel : 'Ce produit peut nuire à votre santé et crée une forte dépendance'.  Cela n'est pas suffisant. Le texte devrait également explicitement contenir l'information suivante : 'Ce produit contient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55" name=""/>
                  <wp:cNvGraphicFramePr>
                    <a:graphicFrameLocks noChangeAspect="1"/>
                  </wp:cNvGraphicFramePr>
                  <a:graphic>
                    <a:graphicData uri="http://schemas.openxmlformats.org/drawingml/2006/picture">
                      <pic:pic>
                        <pic:nvPicPr>
                          <pic:cNvPr id="56" name=""/>
                          <pic:cNvPicPr>
                            <a:picLocks noChangeAspect="1" noChangeArrowheads="1"/>
                          </pic:cNvPicPr>
                        </pic:nvPicPr>
                        <pic:blipFill>
                          <a:blip r:embed="rId4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7" name=""/>
                  <wp:cNvGraphicFramePr>
                    <a:graphicFrameLocks noChangeAspect="1"/>
                  </wp:cNvGraphicFramePr>
                  <a:graphic>
                    <a:graphicData uri="http://schemas.openxmlformats.org/drawingml/2006/picture">
                      <pic:pic>
                        <pic:nvPicPr>
                          <pic:cNvPr id="58"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9" name=""/>
                  <wp:cNvGraphicFramePr>
                    <a:graphicFrameLocks noChangeAspect="1"/>
                  </wp:cNvGraphicFramePr>
                  <a:graphic>
                    <a:graphicData uri="http://schemas.openxmlformats.org/drawingml/2006/picture">
                      <pic:pic>
                        <pic:nvPicPr>
                          <pic:cNvPr id="60" name=""/>
                          <pic:cNvPicPr>
                            <a:picLocks noChangeAspect="1" noChangeArrowheads="1"/>
                          </pic:cNvPicPr>
                        </pic:nvPicPr>
                        <pic:blipFill>
                          <a:blip r:embed="rId5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11 : La future LPTab prévoit que les emballages des e-cigarettes (y compris les Puff Bars) portent cet avertissement textuel : 'Ce produit peut nuire à votre santé et crée une forte dépendance.'   Cela n'est pas suffisant. Dans un but de visibilité du message, des logos d'avertissement devraient être affichés sur l'emballage sous forme de pictogramme ('addictif', 'danger potentiel pour la santé'*), en addition aux avertissements textuels.  *en fonction des preuves scientifiques.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1" name=""/>
                  <wp:cNvGraphicFramePr>
                    <a:graphicFrameLocks noChangeAspect="1"/>
                  </wp:cNvGraphicFramePr>
                  <a:graphic>
                    <a:graphicData uri="http://schemas.openxmlformats.org/drawingml/2006/picture">
                      <pic:pic>
                        <pic:nvPicPr>
                          <pic:cNvPr id="62" name=""/>
                          <pic:cNvPicPr>
                            <a:picLocks noChangeAspect="1" noChangeArrowheads="1"/>
                          </pic:cNvPicPr>
                        </pic:nvPicPr>
                        <pic:blipFill>
                          <a:blip r:embed="rId5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3" name=""/>
                  <wp:cNvGraphicFramePr>
                    <a:graphicFrameLocks noChangeAspect="1"/>
                  </wp:cNvGraphicFramePr>
                  <a:graphic>
                    <a:graphicData uri="http://schemas.openxmlformats.org/drawingml/2006/picture">
                      <pic:pic>
                        <pic:nvPicPr>
                          <pic:cNvPr id="64"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5" name=""/>
                  <wp:cNvGraphicFramePr>
                    <a:graphicFrameLocks noChangeAspect="1"/>
                  </wp:cNvGraphicFramePr>
                  <a:graphic>
                    <a:graphicData uri="http://schemas.openxmlformats.org/drawingml/2006/picture">
                      <pic:pic>
                        <pic:nvPicPr>
                          <pic:cNvPr id="66" name=""/>
                          <pic:cNvPicPr>
                            <a:picLocks noChangeAspect="1" noChangeArrowheads="1"/>
                          </pic:cNvPicPr>
                        </pic:nvPicPr>
                        <pic:blipFill>
                          <a:blip r:embed="rId5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12 : Si une obligation de paquet neutre pour les Puffs Bars devrait être introduite, elle devrait concerner l'emballage (comme pour les cigarettes conventionnelles en Australie, France, etc) et le dispositif (par ex. couleur du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[8.75-9]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7" name=""/>
                  <wp:cNvGraphicFramePr>
                    <a:graphicFrameLocks noChangeAspect="1"/>
                  </wp:cNvGraphicFramePr>
                  <a:graphic>
                    <a:graphicData uri="http://schemas.openxmlformats.org/drawingml/2006/picture">
                      <pic:pic>
                        <pic:nvPicPr>
                          <pic:cNvPr id="68" name=""/>
                          <pic:cNvPicPr>
                            <a:picLocks noChangeAspect="1" noChangeArrowheads="1"/>
                          </pic:cNvPicPr>
                        </pic:nvPicPr>
                        <pic:blipFill>
                          <a:blip r:embed="rId5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9" name=""/>
                  <wp:cNvGraphicFramePr>
                    <a:graphicFrameLocks noChangeAspect="1"/>
                  </wp:cNvGraphicFramePr>
                  <a:graphic>
                    <a:graphicData uri="http://schemas.openxmlformats.org/drawingml/2006/picture">
                      <pic:pic>
                        <pic:nvPicPr>
                          <pic:cNvPr id="70"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1" name=""/>
                  <wp:cNvGraphicFramePr>
                    <a:graphicFrameLocks noChangeAspect="1"/>
                  </wp:cNvGraphicFramePr>
                  <a:graphic>
                    <a:graphicData uri="http://schemas.openxmlformats.org/drawingml/2006/picture">
                      <pic:pic>
                        <pic:nvPicPr>
                          <pic:cNvPr id="72" name=""/>
                          <pic:cNvPicPr>
                            <a:picLocks noChangeAspect="1" noChangeArrowheads="1"/>
                          </pic:cNvPicPr>
                        </pic:nvPicPr>
                        <pic:blipFill>
                          <a:blip r:embed="rId5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13 : Une obligation de paquet neutre pour les Puffs Bars devrait être introduite. Dans le but de ne pas risquer un effet passerelle vers le tabac, cela devrait être fait seulement en même temps ou après l'introduction de cette mesure pour les produits du tabac.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3" name=""/>
                  <wp:cNvGraphicFramePr>
                    <a:graphicFrameLocks noChangeAspect="1"/>
                  </wp:cNvGraphicFramePr>
                  <a:graphic>
                    <a:graphicData uri="http://schemas.openxmlformats.org/drawingml/2006/picture">
                      <pic:pic>
                        <pic:nvPicPr>
                          <pic:cNvPr id="74" name=""/>
                          <pic:cNvPicPr>
                            <a:picLocks noChangeAspect="1" noChangeArrowheads="1"/>
                          </pic:cNvPicPr>
                        </pic:nvPicPr>
                        <pic:blipFill>
                          <a:blip r:embed="rId5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5" name=""/>
                  <wp:cNvGraphicFramePr>
                    <a:graphicFrameLocks noChangeAspect="1"/>
                  </wp:cNvGraphicFramePr>
                  <a:graphic>
                    <a:graphicData uri="http://schemas.openxmlformats.org/drawingml/2006/picture">
                      <pic:pic>
                        <pic:nvPicPr>
                          <pic:cNvPr id="76"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7" name=""/>
                  <wp:cNvGraphicFramePr>
                    <a:graphicFrameLocks noChangeAspect="1"/>
                  </wp:cNvGraphicFramePr>
                  <a:graphic>
                    <a:graphicData uri="http://schemas.openxmlformats.org/drawingml/2006/picture">
                      <pic:pic>
                        <pic:nvPicPr>
                          <pic:cNvPr id="78" name=""/>
                          <pic:cNvPicPr>
                            <a:picLocks noChangeAspect="1" noChangeArrowheads="1"/>
                          </pic:cNvPicPr>
                        </pic:nvPicPr>
                        <pic:blipFill>
                          <a:blip r:embed="rId5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14 : La publicité, la promotion et le parrainage pour les Puff Bars devrait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9" name=""/>
                  <wp:cNvGraphicFramePr>
                    <a:graphicFrameLocks noChangeAspect="1"/>
                  </wp:cNvGraphicFramePr>
                  <a:graphic>
                    <a:graphicData uri="http://schemas.openxmlformats.org/drawingml/2006/picture">
                      <pic:pic>
                        <pic:nvPicPr>
                          <pic:cNvPr id="80" name=""/>
                          <pic:cNvPicPr>
                            <a:picLocks noChangeAspect="1" noChangeArrowheads="1"/>
                          </pic:cNvPicPr>
                        </pic:nvPicPr>
                        <pic:blipFill>
                          <a:blip r:embed="rId5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1" name=""/>
                  <wp:cNvGraphicFramePr>
                    <a:graphicFrameLocks noChangeAspect="1"/>
                  </wp:cNvGraphicFramePr>
                  <a:graphic>
                    <a:graphicData uri="http://schemas.openxmlformats.org/drawingml/2006/picture">
                      <pic:pic>
                        <pic:nvPicPr>
                          <pic:cNvPr id="82"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3" name=""/>
                  <wp:cNvGraphicFramePr>
                    <a:graphicFrameLocks noChangeAspect="1"/>
                  </wp:cNvGraphicFramePr>
                  <a:graphic>
                    <a:graphicData uri="http://schemas.openxmlformats.org/drawingml/2006/picture">
                      <pic:pic>
                        <pic:nvPicPr>
                          <pic:cNvPr id="84" name=""/>
                          <pic:cNvPicPr>
                            <a:picLocks noChangeAspect="1" noChangeArrowheads="1"/>
                          </pic:cNvPicPr>
                        </pic:nvPicPr>
                        <pic:blipFill>
                          <a:blip r:embed="rId5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7 -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8 -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9 -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10 -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14 -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
            </w:r>
          </w:p>
        </w:tc>
      </w:tr>
    </w:tbl>
    <w:p>
      <w:pPr>
        <w:pStyle w:val="Corpsdetexte"/>
      </w:pPr>
    </w:p>
    <w:p>
      <w:r>
        <w:br w:type="page"/>
      </w:r>
    </w:p>
    <w:bookmarkEnd w:id="27"/>
    <w:bookmarkStart w:id="28" w:name="X4740244d45a68addd0bc5af839b2462b78b5af8"/>
    <w:p>
      <w:pPr>
        <w:pStyle w:val="Titre2"/>
      </w:pPr>
      <w:r>
        <w:rPr>
          <w:rStyle w:val="SectionNumber"/>
        </w:rPr>
        <w:t xml:space="preserve">5.2</w:t>
      </w:r>
      <w:r>
        <w:tab/>
      </w:r>
      <w:r>
        <w:t xml:space="preserve">Commentaires sur Section A - Composition du produit &amp; aspects marketing</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A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r>
        <w:br w:type="page"/>
      </w:r>
    </w:p>
    <w:bookmarkEnd w:id="28"/>
    <w:bookmarkEnd w:id="29"/>
    <w:bookmarkStart w:id="32" w:name="X0c5d6cc2d82ff7481ceb5eb6bd331a1d5392a85"/>
    <w:p>
      <w:pPr>
        <w:pStyle w:val="Titre1"/>
      </w:pPr>
      <w:r>
        <w:rPr>
          <w:rStyle w:val="SectionNumber"/>
        </w:rPr>
        <w:t xml:space="preserve">6</w:t>
      </w:r>
      <w:r>
        <w:tab/>
      </w:r>
      <w:r>
        <w:t xml:space="preserve">Section B - Vente, consommation, taxation &amp; prix</w:t>
      </w:r>
    </w:p>
    <w:altChunk r:id="rId25"/>
    <w:bookmarkStart w:id="30" w:name="questions-de-type-1-2"/>
    <w:p>
      <w:pPr>
        <w:pStyle w:val="Titre2"/>
      </w:pPr>
      <w:r>
        <w:rPr>
          <w:rStyle w:val="SectionNumber"/>
        </w:rPr>
        <w:t xml:space="preserve">6.1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15 : Dans un souci de contrôler l'offre, la vente de Puff Bars devrait être soumise à autorisation (i.e. permettant aux autorités d'avoir une liste officielle des points de vente).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85" name=""/>
                  <wp:cNvGraphicFramePr>
                    <a:graphicFrameLocks noChangeAspect="1"/>
                  </wp:cNvGraphicFramePr>
                  <a:graphic>
                    <a:graphicData uri="http://schemas.openxmlformats.org/drawingml/2006/picture">
                      <pic:pic>
                        <pic:nvPicPr>
                          <pic:cNvPr id="86" name=""/>
                          <pic:cNvPicPr>
                            <a:picLocks noChangeAspect="1" noChangeArrowheads="1"/>
                          </pic:cNvPicPr>
                        </pic:nvPicPr>
                        <pic:blipFill>
                          <a:blip r:embed="rId5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7" name=""/>
                  <wp:cNvGraphicFramePr>
                    <a:graphicFrameLocks noChangeAspect="1"/>
                  </wp:cNvGraphicFramePr>
                  <a:graphic>
                    <a:graphicData uri="http://schemas.openxmlformats.org/drawingml/2006/picture">
                      <pic:pic>
                        <pic:nvPicPr>
                          <pic:cNvPr id="88"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9" name=""/>
                  <wp:cNvGraphicFramePr>
                    <a:graphicFrameLocks noChangeAspect="1"/>
                  </wp:cNvGraphicFramePr>
                  <a:graphic>
                    <a:graphicData uri="http://schemas.openxmlformats.org/drawingml/2006/picture">
                      <pic:pic>
                        <pic:nvPicPr>
                          <pic:cNvPr id="90" name=""/>
                          <pic:cNvPicPr>
                            <a:picLocks noChangeAspect="1" noChangeArrowheads="1"/>
                          </pic:cNvPicPr>
                        </pic:nvPicPr>
                        <pic:blipFill>
                          <a:blip r:embed="rId6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16 : La vente en ligne des Puff Bars peut continuer à être autorisée à la condition stricte qu'elle fasse l'objet d'un contrôle efficace et éprouvé de l'âge de l'acheteur.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[4-8]</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1" name=""/>
                  <wp:cNvGraphicFramePr>
                    <a:graphicFrameLocks noChangeAspect="1"/>
                  </wp:cNvGraphicFramePr>
                  <a:graphic>
                    <a:graphicData uri="http://schemas.openxmlformats.org/drawingml/2006/picture">
                      <pic:pic>
                        <pic:nvPicPr>
                          <pic:cNvPr id="92" name=""/>
                          <pic:cNvPicPr>
                            <a:picLocks noChangeAspect="1" noChangeArrowheads="1"/>
                          </pic:cNvPicPr>
                        </pic:nvPicPr>
                        <pic:blipFill>
                          <a:blip r:embed="rId6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3" name=""/>
                  <wp:cNvGraphicFramePr>
                    <a:graphicFrameLocks noChangeAspect="1"/>
                  </wp:cNvGraphicFramePr>
                  <a:graphic>
                    <a:graphicData uri="http://schemas.openxmlformats.org/drawingml/2006/picture">
                      <pic:pic>
                        <pic:nvPicPr>
                          <pic:cNvPr id="94"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5" name=""/>
                  <wp:cNvGraphicFramePr>
                    <a:graphicFrameLocks noChangeAspect="1"/>
                  </wp:cNvGraphicFramePr>
                  <a:graphic>
                    <a:graphicData uri="http://schemas.openxmlformats.org/drawingml/2006/picture">
                      <pic:pic>
                        <pic:nvPicPr>
                          <pic:cNvPr id="96" name=""/>
                          <pic:cNvPicPr>
                            <a:picLocks noChangeAspect="1" noChangeArrowheads="1"/>
                          </pic:cNvPicPr>
                        </pic:nvPicPr>
                        <pic:blipFill>
                          <a:blip r:embed="rId6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17 : La consommation de Puff Bars devrait être interdite dans tous les lieux publics (ouverts ou fermés) où le tabac est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7" name=""/>
                  <wp:cNvGraphicFramePr>
                    <a:graphicFrameLocks noChangeAspect="1"/>
                  </wp:cNvGraphicFramePr>
                  <a:graphic>
                    <a:graphicData uri="http://schemas.openxmlformats.org/drawingml/2006/picture">
                      <pic:pic>
                        <pic:nvPicPr>
                          <pic:cNvPr id="98" name=""/>
                          <pic:cNvPicPr>
                            <a:picLocks noChangeAspect="1" noChangeArrowheads="1"/>
                          </pic:cNvPicPr>
                        </pic:nvPicPr>
                        <pic:blipFill>
                          <a:blip r:embed="rId6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9" name=""/>
                  <wp:cNvGraphicFramePr>
                    <a:graphicFrameLocks noChangeAspect="1"/>
                  </wp:cNvGraphicFramePr>
                  <a:graphic>
                    <a:graphicData uri="http://schemas.openxmlformats.org/drawingml/2006/picture">
                      <pic:pic>
                        <pic:nvPicPr>
                          <pic:cNvPr id="100"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1" name=""/>
                  <wp:cNvGraphicFramePr>
                    <a:graphicFrameLocks noChangeAspect="1"/>
                  </wp:cNvGraphicFramePr>
                  <a:graphic>
                    <a:graphicData uri="http://schemas.openxmlformats.org/drawingml/2006/picture">
                      <pic:pic>
                        <pic:nvPicPr>
                          <pic:cNvPr id="102" name=""/>
                          <pic:cNvPicPr>
                            <a:picLocks noChangeAspect="1" noChangeArrowheads="1"/>
                          </pic:cNvPicPr>
                        </pic:nvPicPr>
                        <pic:blipFill>
                          <a:blip r:embed="rId6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18 : La taxation des Puff Bars devrait être proportionnelle à la quantité de nicotine, mais ne pas être inférieure à une taxe minimale par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3" name=""/>
                  <wp:cNvGraphicFramePr>
                    <a:graphicFrameLocks noChangeAspect="1"/>
                  </wp:cNvGraphicFramePr>
                  <a:graphic>
                    <a:graphicData uri="http://schemas.openxmlformats.org/drawingml/2006/picture">
                      <pic:pic>
                        <pic:nvPicPr>
                          <pic:cNvPr id="104" name=""/>
                          <pic:cNvPicPr>
                            <a:picLocks noChangeAspect="1" noChangeArrowheads="1"/>
                          </pic:cNvPicPr>
                        </pic:nvPicPr>
                        <pic:blipFill>
                          <a:blip r:embed="rId6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5" name=""/>
                  <wp:cNvGraphicFramePr>
                    <a:graphicFrameLocks noChangeAspect="1"/>
                  </wp:cNvGraphicFramePr>
                  <a:graphic>
                    <a:graphicData uri="http://schemas.openxmlformats.org/drawingml/2006/picture">
                      <pic:pic>
                        <pic:nvPicPr>
                          <pic:cNvPr id="10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7" name=""/>
                  <wp:cNvGraphicFramePr>
                    <a:graphicFrameLocks noChangeAspect="1"/>
                  </wp:cNvGraphicFramePr>
                  <a:graphic>
                    <a:graphicData uri="http://schemas.openxmlformats.org/drawingml/2006/picture">
                      <pic:pic>
                        <pic:nvPicPr>
                          <pic:cNvPr id="108" name=""/>
                          <pic:cNvPicPr>
                            <a:picLocks noChangeAspect="1" noChangeArrowheads="1"/>
                          </pic:cNvPicPr>
                        </pic:nvPicPr>
                        <pic:blipFill>
                          <a:blip r:embed="rId6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19 : Les taxes devraient être conçues de manière à ce que le prix de vente pour une Puff Bar ne soit pas inférieur au prix des cigarettes conventionnelles, à quantité de nicotine équivalente, afin de limiter l'attractivité du produit pour les jeunes.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9" name=""/>
                  <wp:cNvGraphicFramePr>
                    <a:graphicFrameLocks noChangeAspect="1"/>
                  </wp:cNvGraphicFramePr>
                  <a:graphic>
                    <a:graphicData uri="http://schemas.openxmlformats.org/drawingml/2006/picture">
                      <pic:pic>
                        <pic:nvPicPr>
                          <pic:cNvPr id="110" name=""/>
                          <pic:cNvPicPr>
                            <a:picLocks noChangeAspect="1" noChangeArrowheads="1"/>
                          </pic:cNvPicPr>
                        </pic:nvPicPr>
                        <pic:blipFill>
                          <a:blip r:embed="rId6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1" name=""/>
                  <wp:cNvGraphicFramePr>
                    <a:graphicFrameLocks noChangeAspect="1"/>
                  </wp:cNvGraphicFramePr>
                  <a:graphic>
                    <a:graphicData uri="http://schemas.openxmlformats.org/drawingml/2006/picture">
                      <pic:pic>
                        <pic:nvPicPr>
                          <pic:cNvPr id="112"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3" name=""/>
                  <wp:cNvGraphicFramePr>
                    <a:graphicFrameLocks noChangeAspect="1"/>
                  </wp:cNvGraphicFramePr>
                  <a:graphic>
                    <a:graphicData uri="http://schemas.openxmlformats.org/drawingml/2006/picture">
                      <pic:pic>
                        <pic:nvPicPr>
                          <pic:cNvPr id="114" name=""/>
                          <pic:cNvPicPr>
                            <a:picLocks noChangeAspect="1" noChangeArrowheads="1"/>
                          </pic:cNvPicPr>
                        </pic:nvPicPr>
                        <pic:blipFill>
                          <a:blip r:embed="rId6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15 -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16 -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17 -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18 -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19 -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p>
      <w:r>
        <w:br w:type="page"/>
      </w:r>
    </w:p>
    <w:bookmarkEnd w:id="30"/>
    <w:bookmarkStart w:id="31" w:name="X4703bd134b5b898601b9f99746427c17b2eb21b"/>
    <w:p>
      <w:pPr>
        <w:pStyle w:val="Titre2"/>
      </w:pPr>
      <w:r>
        <w:rPr>
          <w:rStyle w:val="SectionNumber"/>
        </w:rPr>
        <w:t xml:space="preserve">6.2</w:t>
      </w:r>
      <w:r>
        <w:tab/>
      </w:r>
      <w:r>
        <w:t xml:space="preserve">Commentaires sur Section B - Vente, consommation, taxation &amp; prix</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B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r>
        <w:br w:type="page"/>
      </w:r>
    </w:p>
    <w:bookmarkEnd w:id="31"/>
    <w:bookmarkEnd w:id="32"/>
    <w:bookmarkStart w:id="35" w:name="Xf633d85f3453d9464132fc1293c0579a3d6d22f"/>
    <w:p>
      <w:pPr>
        <w:pStyle w:val="Titre1"/>
      </w:pPr>
      <w:r>
        <w:rPr>
          <w:rStyle w:val="SectionNumber"/>
        </w:rPr>
        <w:t xml:space="preserve">7</w:t>
      </w:r>
      <w:r>
        <w:tab/>
      </w:r>
      <w:r>
        <w:t xml:space="preserve">Section C - Aspects écologiques &amp; éléments transversaux</w:t>
      </w:r>
    </w:p>
    <w:altChunk r:id="rId26"/>
    <w:bookmarkStart w:id="33" w:name="questions-de-type-1-3"/>
    <w:p>
      <w:pPr>
        <w:pStyle w:val="Titre2"/>
      </w:pPr>
      <w:r>
        <w:rPr>
          <w:rStyle w:val="SectionNumber"/>
        </w:rPr>
        <w:t xml:space="preserve">7.1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20 : Un avertissement sous forme de pictogramme devrait être affiché sur l'emballage afin de signaler qu'il s'agit d'un dispositif à usage unique.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15" name=""/>
                  <wp:cNvGraphicFramePr>
                    <a:graphicFrameLocks noChangeAspect="1"/>
                  </wp:cNvGraphicFramePr>
                  <a:graphic>
                    <a:graphicData uri="http://schemas.openxmlformats.org/drawingml/2006/picture">
                      <pic:pic>
                        <pic:nvPicPr>
                          <pic:cNvPr id="116" name=""/>
                          <pic:cNvPicPr>
                            <a:picLocks noChangeAspect="1" noChangeArrowheads="1"/>
                          </pic:cNvPicPr>
                        </pic:nvPicPr>
                        <pic:blipFill>
                          <a:blip r:embed="rId6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7" name=""/>
                  <wp:cNvGraphicFramePr>
                    <a:graphicFrameLocks noChangeAspect="1"/>
                  </wp:cNvGraphicFramePr>
                  <a:graphic>
                    <a:graphicData uri="http://schemas.openxmlformats.org/drawingml/2006/picture">
                      <pic:pic>
                        <pic:nvPicPr>
                          <pic:cNvPr id="118"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9" name=""/>
                  <wp:cNvGraphicFramePr>
                    <a:graphicFrameLocks noChangeAspect="1"/>
                  </wp:cNvGraphicFramePr>
                  <a:graphic>
                    <a:graphicData uri="http://schemas.openxmlformats.org/drawingml/2006/picture">
                      <pic:pic>
                        <pic:nvPicPr>
                          <pic:cNvPr id="120" name=""/>
                          <pic:cNvPicPr>
                            <a:picLocks noChangeAspect="1" noChangeArrowheads="1"/>
                          </pic:cNvPicPr>
                        </pic:nvPicPr>
                        <pic:blipFill>
                          <a:blip r:embed="rId7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21 : Afin d'adresser la problématique écologique des Puffs Bars, le caractère à usage unique du dispositif devrait être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1" name=""/>
                  <wp:cNvGraphicFramePr>
                    <a:graphicFrameLocks noChangeAspect="1"/>
                  </wp:cNvGraphicFramePr>
                  <a:graphic>
                    <a:graphicData uri="http://schemas.openxmlformats.org/drawingml/2006/picture">
                      <pic:pic>
                        <pic:nvPicPr>
                          <pic:cNvPr id="122" name=""/>
                          <pic:cNvPicPr>
                            <a:picLocks noChangeAspect="1" noChangeArrowheads="1"/>
                          </pic:cNvPicPr>
                        </pic:nvPicPr>
                        <pic:blipFill>
                          <a:blip r:embed="rId7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3" name=""/>
                  <wp:cNvGraphicFramePr>
                    <a:graphicFrameLocks noChangeAspect="1"/>
                  </wp:cNvGraphicFramePr>
                  <a:graphic>
                    <a:graphicData uri="http://schemas.openxmlformats.org/drawingml/2006/picture">
                      <pic:pic>
                        <pic:nvPicPr>
                          <pic:cNvPr id="124"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5" name=""/>
                  <wp:cNvGraphicFramePr>
                    <a:graphicFrameLocks noChangeAspect="1"/>
                  </wp:cNvGraphicFramePr>
                  <a:graphic>
                    <a:graphicData uri="http://schemas.openxmlformats.org/drawingml/2006/picture">
                      <pic:pic>
                        <pic:nvPicPr>
                          <pic:cNvPr id="126" name=""/>
                          <pic:cNvPicPr>
                            <a:picLocks noChangeAspect="1" noChangeArrowheads="1"/>
                          </pic:cNvPicPr>
                        </pic:nvPicPr>
                        <pic:blipFill>
                          <a:blip r:embed="rId7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22 : Plus d'efforts devraient être déployés afin de contrôler les réglementations. Si les réglementations proposées ci-dessus sont mises en œuvre, il faudrait cibler les mesures de contrôle en priorité sur la teneur en nicotine (par des tests chimiques obligatoires), l'âge de vente et de remise (par des campagnes d'achats-tests) et les restrictions de publicité en général.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7" name=""/>
                  <wp:cNvGraphicFramePr>
                    <a:graphicFrameLocks noChangeAspect="1"/>
                  </wp:cNvGraphicFramePr>
                  <a:graphic>
                    <a:graphicData uri="http://schemas.openxmlformats.org/drawingml/2006/picture">
                      <pic:pic>
                        <pic:nvPicPr>
                          <pic:cNvPr id="128" name=""/>
                          <pic:cNvPicPr>
                            <a:picLocks noChangeAspect="1" noChangeArrowheads="1"/>
                          </pic:cNvPicPr>
                        </pic:nvPicPr>
                        <pic:blipFill>
                          <a:blip r:embed="rId7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9" name=""/>
                  <wp:cNvGraphicFramePr>
                    <a:graphicFrameLocks noChangeAspect="1"/>
                  </wp:cNvGraphicFramePr>
                  <a:graphic>
                    <a:graphicData uri="http://schemas.openxmlformats.org/drawingml/2006/picture">
                      <pic:pic>
                        <pic:nvPicPr>
                          <pic:cNvPr id="130"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1" name=""/>
                  <wp:cNvGraphicFramePr>
                    <a:graphicFrameLocks noChangeAspect="1"/>
                  </wp:cNvGraphicFramePr>
                  <a:graphic>
                    <a:graphicData uri="http://schemas.openxmlformats.org/drawingml/2006/picture">
                      <pic:pic>
                        <pic:nvPicPr>
                          <pic:cNvPr id="132" name=""/>
                          <pic:cNvPicPr>
                            <a:picLocks noChangeAspect="1" noChangeArrowheads="1"/>
                          </pic:cNvPicPr>
                        </pic:nvPicPr>
                        <pic:blipFill>
                          <a:blip r:embed="rId7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23 : Des données détaillées (par type de produit, y compris les Puff Bars) concernant la prévalence de la consommation devraient être collectées systématiquement sur une base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3" name=""/>
                  <wp:cNvGraphicFramePr>
                    <a:graphicFrameLocks noChangeAspect="1"/>
                  </wp:cNvGraphicFramePr>
                  <a:graphic>
                    <a:graphicData uri="http://schemas.openxmlformats.org/drawingml/2006/picture">
                      <pic:pic>
                        <pic:nvPicPr>
                          <pic:cNvPr id="134" name=""/>
                          <pic:cNvPicPr>
                            <a:picLocks noChangeAspect="1" noChangeArrowheads="1"/>
                          </pic:cNvPicPr>
                        </pic:nvPicPr>
                        <pic:blipFill>
                          <a:blip r:embed="rId7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5" name=""/>
                  <wp:cNvGraphicFramePr>
                    <a:graphicFrameLocks noChangeAspect="1"/>
                  </wp:cNvGraphicFramePr>
                  <a:graphic>
                    <a:graphicData uri="http://schemas.openxmlformats.org/drawingml/2006/picture">
                      <pic:pic>
                        <pic:nvPicPr>
                          <pic:cNvPr id="136"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7" name=""/>
                  <wp:cNvGraphicFramePr>
                    <a:graphicFrameLocks noChangeAspect="1"/>
                  </wp:cNvGraphicFramePr>
                  <a:graphic>
                    <a:graphicData uri="http://schemas.openxmlformats.org/drawingml/2006/picture">
                      <pic:pic>
                        <pic:nvPicPr>
                          <pic:cNvPr id="138" name=""/>
                          <pic:cNvPicPr>
                            <a:picLocks noChangeAspect="1" noChangeArrowheads="1"/>
                          </pic:cNvPicPr>
                        </pic:nvPicPr>
                        <pic:blipFill>
                          <a:blip r:embed="rId7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20 -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p>
      <w:r>
        <w:br w:type="page"/>
      </w:r>
    </w:p>
    <w:bookmarkEnd w:id="33"/>
    <w:bookmarkStart w:id="34" w:name="X16ebe93d40f8705ceeb484334757ec334eaa59e"/>
    <w:p>
      <w:pPr>
        <w:pStyle w:val="Titre2"/>
      </w:pPr>
      <w:r>
        <w:rPr>
          <w:rStyle w:val="SectionNumber"/>
        </w:rPr>
        <w:t xml:space="preserve">7.2</w:t>
      </w:r>
      <w:r>
        <w:tab/>
      </w:r>
      <w:r>
        <w:t xml:space="preserve">Commentaires sur Section C - Aspects écologiques &amp; éléments transversaux</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C - Commentaires</w:t>
            </w:r>
          </w:p>
        </w:tc>
      </w:tr>
    </w:tbl>
    <w:bookmarkEnd w:id="34"/>
    <w:bookmarkEnd w:id="35"/>
    <w:sectPr w:rsidR="00587236" w:rsidSect="007340DA">
      <w:footerReference r:id="rId10" w:type="even"/>
      <w:footerReference r:id="rId9" w:type="default"/>
      <w:pgSz w:h="15840" w:w="12240"/>
      <w:pgMar w:bottom="1418" w:footer="720" w:gutter="0" w:header="720" w:left="1418" w:right="1418" w:top="1418"/>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342282442"/>
      <w:docPartObj>
        <w:docPartGallery w:val="Page Numbers (Bottom of Page)"/>
        <w:docPartUnique/>
      </w:docPartObj>
    </w:sdtPr>
    <w:sdtEndPr>
      <w:rPr>
        <w:rStyle w:val="Numrodepage"/>
      </w:rPr>
    </w:sdtEndPr>
    <w:sdtContent>
      <w:p w14:paraId="62F1DC4B"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39D233A"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928616856"/>
      <w:docPartObj>
        <w:docPartGallery w:val="Page Numbers (Bottom of Page)"/>
        <w:docPartUnique/>
      </w:docPartObj>
    </w:sdtPr>
    <w:sdtEndPr>
      <w:rPr>
        <w:rStyle w:val="Numrodepage"/>
      </w:rPr>
    </w:sdtEndPr>
    <w:sdtContent>
      <w:p w14:paraId="0ECCAA52" w14:textId="1C8635AC"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B871B8">
          <w:rPr>
            <w:rStyle w:val="Numrodepage"/>
            <w:noProof/>
          </w:rPr>
          <w:t>2</w:t>
        </w:r>
        <w:r>
          <w:rPr>
            <w:rStyle w:val="Numrodepage"/>
          </w:rPr>
          <w:fldChar w:fldCharType="end"/>
        </w:r>
      </w:p>
    </w:sdtContent>
  </w:sdt>
  <w:p w14:paraId="5CAEC1F6"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50E17B0"/>
    <w:multiLevelType w:val="hybridMultilevel"/>
    <w:tmpl w:val="23D4D1C6"/>
    <w:lvl w:ilvl="0" w:tplc="A896174C">
      <w:start w:val="1"/>
      <w:numFmt w:val="decimal"/>
      <w:suff w:val="space"/>
      <w:lvlText w:val="Table %1:"/>
      <w:lvlJc w:val="left"/>
      <w:pPr>
        <w:ind w:hanging="94" w:left="454"/>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86520E3"/>
    <w:multiLevelType w:val="multilevel"/>
    <w:tmpl w:val="040C001D"/>
    <w:styleLink w:val="Listeactuelle3"/>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289B7C2A"/>
    <w:multiLevelType w:val="multilevel"/>
    <w:tmpl w:val="4B88F872"/>
    <w:numStyleLink w:val="Defaulto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60C2659"/>
    <w:multiLevelType w:val="hybridMultilevel"/>
    <w:tmpl w:val="CE227002"/>
    <w:lvl w:ilvl="0" w:tplc="BC80F9AA">
      <w:start w:val="1"/>
      <w:numFmt w:val="decimal"/>
      <w:lvlText w:val="Figur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541B4A48"/>
    <w:multiLevelType w:val="multilevel"/>
    <w:tmpl w:val="040C001D"/>
    <w:styleLink w:val="Listeactuelle1"/>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4">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7116D27A"/>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8">
    <w:nsid w:val="7B8D1BD3"/>
    <w:multiLevelType w:val="multilevel"/>
    <w:tmpl w:val="040C001D"/>
    <w:styleLink w:val="Listeactuelle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9">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6"/>
  </w:num>
  <w:num w:numId="13">
    <w:abstractNumId w:val="25"/>
  </w:num>
  <w:num w:numId="14">
    <w:abstractNumId w:val="24"/>
  </w:num>
  <w:num w:numId="15">
    <w:abstractNumId w:val="22"/>
  </w:num>
  <w:num w:numId="16">
    <w:abstractNumId w:val="15"/>
  </w:num>
  <w:num w:numId="17">
    <w:abstractNumId w:val="16"/>
  </w:num>
  <w:num w:numId="18">
    <w:abstractNumId w:val="29"/>
  </w:num>
  <w:num w:numId="19">
    <w:abstractNumId w:val="21"/>
  </w:num>
  <w:num w:numId="20">
    <w:abstractNumId w:val="27"/>
  </w:num>
  <w:num w:numId="21">
    <w:abstractNumId w:val="12"/>
  </w:num>
  <w:num w:numId="22">
    <w:abstractNumId w:val="17"/>
  </w:num>
  <w:num w:numId="23">
    <w:abstractNumId w:val="19"/>
  </w:num>
  <w:num w:numId="24">
    <w:abstractNumId w:val="11"/>
  </w:num>
  <w:num w:numId="25">
    <w:abstractNumId w:val="18"/>
  </w:num>
  <w:num w:numId="26">
    <w:abstractNumId w:val="10"/>
  </w:num>
  <w:num w:numId="27">
    <w:abstractNumId w:val="23"/>
  </w:num>
  <w:num w:numId="28">
    <w:abstractNumId w:val="28"/>
  </w:num>
  <w:num w:numId="29">
    <w:abstractNumId w:val="14"/>
  </w:num>
  <w:num w:numId="30">
    <w:abstractNumId w:val="20"/>
  </w:num>
  <w:num w:numId="1000">
    <w:abstractNumId w:val="990"/>
  </w:num>
</w:numbering>
</file>

<file path=word/settings.xml><?xml version="1.0" encoding="utf-8"?>
<w:settings xmlns:w="http://schemas.openxmlformats.org/wordprocessingml/2006/main">
  <w:zoom w:percent="80"/>
  <w:defaultTabStop w:val="454"/>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B871B8"/>
    <w:pPr>
      <w:widowControl w:val="0"/>
      <w:spacing w:line="23" w:lineRule="atLeast"/>
    </w:pPr>
    <w:rPr>
      <w:rFonts w:ascii="Calibri" w:hAnsi="Calibri"/>
      <w:sz w:val="22"/>
    </w:rPr>
  </w:style>
  <w:style w:styleId="Titre1" w:type="paragraph">
    <w:name w:val="heading 1"/>
    <w:basedOn w:val="Normal"/>
    <w:next w:val="Corpsdetexte"/>
    <w:uiPriority w:val="9"/>
    <w:qFormat/>
    <w:rsid w:val="00D90390"/>
    <w:pPr>
      <w:keepNext/>
      <w:keepLines/>
      <w:spacing w:after="0" w:before="36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D90390"/>
    <w:pPr>
      <w:keepNext/>
      <w:keepLines/>
      <w:spacing w:after="120" w:before="200"/>
      <w:ind w:left="357"/>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D90390"/>
    <w:pPr>
      <w:keepNext/>
      <w:keepLines/>
      <w:spacing w:after="120" w:before="200"/>
      <w:ind w:left="72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D90390"/>
    <w:pPr>
      <w:keepNext/>
      <w:keepLines/>
      <w:spacing w:after="0" w:before="200"/>
      <w:ind w:left="1077"/>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D90390"/>
    <w:pPr>
      <w:keepNext/>
      <w:keepLines/>
      <w:spacing w:after="0" w:before="200"/>
      <w:ind w:left="144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D90390"/>
    <w:pPr>
      <w:keepNext/>
      <w:keepLines/>
      <w:spacing w:after="0" w:before="200"/>
      <w:ind w:left="1797"/>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D90390"/>
    <w:pPr>
      <w:keepNext/>
      <w:keepLines/>
      <w:spacing w:after="0" w:before="200"/>
      <w:ind w:left="216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D90390"/>
    <w:pPr>
      <w:keepNext/>
      <w:keepLines/>
      <w:spacing w:after="0" w:before="200"/>
      <w:ind w:left="2517"/>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D90390"/>
    <w:pPr>
      <w:keepNext/>
      <w:keepLines/>
      <w:spacing w:after="0" w:before="200"/>
      <w:ind w:left="288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871B8"/>
    <w:pPr>
      <w:spacing w:after="180" w:before="180"/>
    </w:pPr>
  </w:style>
  <w:style w:customStyle="1" w:styleId="FirstParagraph" w:type="paragraph">
    <w:name w:val="First Paragraph"/>
    <w:basedOn w:val="Corpsdetexte"/>
    <w:next w:val="Corpsdetexte"/>
    <w:qFormat/>
    <w:rsid w:val="00D90390"/>
  </w:style>
  <w:style w:customStyle="1" w:styleId="Compact" w:type="paragraph">
    <w:name w:val="Compact"/>
    <w:basedOn w:val="Corpsdetexte"/>
    <w:qFormat/>
    <w:rsid w:val="000E4F38"/>
    <w:pPr>
      <w:spacing w:after="36" w:before="36"/>
    </w:pPr>
  </w:style>
  <w:style w:styleId="Titre" w:type="paragraph">
    <w:name w:val="Title"/>
    <w:basedOn w:val="Normal"/>
    <w:next w:val="Corpsdetexte"/>
    <w:qFormat/>
    <w:rsid w:val="004B6EA1"/>
    <w:pPr>
      <w:keepNext/>
      <w:keepLines/>
      <w:spacing w:after="120" w:line="240" w:lineRule="auto"/>
      <w:jc w:val="center"/>
    </w:pPr>
    <w:rPr>
      <w:rFonts w:asciiTheme="majorHAnsi" w:cstheme="majorBidi" w:eastAsiaTheme="majorEastAsia" w:hAnsiTheme="majorHAnsi"/>
      <w:b/>
      <w:bCs/>
      <w:color w:val="C00000"/>
      <w:sz w:val="36"/>
      <w:szCs w:val="36"/>
    </w:rPr>
  </w:style>
  <w:style w:styleId="Sous-titre" w:type="paragraph">
    <w:name w:val="Subtitle"/>
    <w:basedOn w:val="Titre"/>
    <w:next w:val="Corpsdetexte"/>
    <w:qFormat/>
    <w:rsid w:val="00F97B1D"/>
    <w:rPr>
      <w:sz w:val="30"/>
      <w:szCs w:val="30"/>
    </w:rPr>
  </w:style>
  <w:style w:customStyle="1" w:styleId="Author" w:type="paragraph">
    <w:name w:val="Author"/>
    <w:next w:val="Corpsdetexte"/>
    <w:qFormat/>
    <w:rsid w:val="00F97B1D"/>
    <w:pPr>
      <w:keepNext/>
      <w:keepLines/>
      <w:spacing w:after="120"/>
      <w:jc w:val="center"/>
    </w:pPr>
    <w:rPr>
      <w:rFonts w:ascii="Calibri" w:hAnsi="Calibri"/>
    </w:rPr>
  </w:style>
  <w:style w:styleId="Date" w:type="paragraph">
    <w:name w:val="Date"/>
    <w:next w:val="Corpsdetexte"/>
    <w:qFormat/>
    <w:rsid w:val="00F97B1D"/>
    <w:pPr>
      <w:keepNext/>
      <w:keepLines/>
      <w:spacing w:after="120"/>
      <w:jc w:val="center"/>
    </w:pPr>
    <w:rPr>
      <w:rFonts w:ascii="Calibri" w:hAnsi="Calibri"/>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rsid w:val="00D90390"/>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rsid w:val="00442D35"/>
    <w:pPr>
      <w:spacing w:after="120" w:before="240"/>
    </w:pPr>
    <w:rPr>
      <w:i/>
    </w:rPr>
  </w:style>
  <w:style w:customStyle="1" w:styleId="TableCaption" w:type="paragraph">
    <w:name w:val="Table Caption"/>
    <w:basedOn w:val="Lgende"/>
    <w:rsid w:val="000E4F38"/>
    <w:pPr>
      <w:jc w:val="center"/>
    </w:pPr>
    <w:rPr>
      <w:i w:val="0"/>
    </w:rPr>
  </w:style>
  <w:style w:customStyle="1" w:styleId="ImageCaption" w:type="paragraph">
    <w:name w:val="Image Caption"/>
    <w:basedOn w:val="TableCaption"/>
    <w:rsid w:val="0050203C"/>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rsid w:val="00442D35"/>
    <w:rPr>
      <w:rFonts w:ascii="Calibri" w:hAnsi="Calibri"/>
      <w:i/>
      <w:sz w:val="22"/>
    </w:rPr>
  </w:style>
  <w:style w:customStyle="1" w:styleId="VerbatimChar" w:type="character">
    <w:name w:val="Verbatim Char"/>
    <w:basedOn w:val="LgendeCar"/>
    <w:rsid w:val="009137D8"/>
    <w:rPr>
      <w:rFonts w:ascii="Consolas" w:hAnsi="Consolas"/>
      <w:i/>
      <w:color w:val="C00000"/>
      <w:sz w:val="22"/>
      <w:u w:val="none"/>
      <w:bdr w:color="auto" w:space="0" w:sz="0" w:val="none"/>
      <w:shd w:color="auto" w:fill="F2F2F2" w:themeFill="background1" w:themeFillShade="F2" w:val="clear"/>
    </w:rPr>
  </w:style>
  <w:style w:styleId="Appelnotedebasdep" w:type="character">
    <w:name w:val="footnote reference"/>
    <w:basedOn w:val="LgendeCar"/>
    <w:rPr>
      <w:rFonts w:ascii="Calibri" w:hAnsi="Calibri"/>
      <w:i/>
      <w:sz w:val="22"/>
      <w:vertAlign w:val="superscript"/>
    </w:rPr>
  </w:style>
  <w:style w:styleId="Lienhypertexte" w:type="character">
    <w:name w:val="Hyperlink"/>
    <w:basedOn w:val="LgendeCar"/>
    <w:rsid w:val="009137D8"/>
    <w:rPr>
      <w:rFonts w:ascii="Calibri" w:hAnsi="Calibri"/>
      <w:i/>
      <w:color w:val="C00000"/>
      <w:sz w:val="22"/>
    </w:rPr>
  </w:style>
  <w:style w:styleId="En-ttedetabledesmatires" w:type="paragraph">
    <w:name w:val="TOC Heading"/>
    <w:basedOn w:val="Titre1"/>
    <w:next w:val="Corpsdetexte"/>
    <w:uiPriority w:val="39"/>
    <w:unhideWhenUsed/>
    <w:qFormat/>
    <w:rsid w:val="009137D8"/>
    <w:pPr>
      <w:spacing w:line="259" w:lineRule="auto"/>
      <w:jc w:val="center"/>
      <w:outlineLvl w:val="9"/>
    </w:pPr>
    <w:rPr>
      <w:b w:val="0"/>
      <w:bCs w:val="0"/>
    </w:rPr>
  </w:style>
  <w:style w:customStyle="1" w:styleId="CorpsdetexteCar" w:type="character">
    <w:name w:val="Corps de texte Car"/>
    <w:basedOn w:val="Policepardfaut"/>
    <w:link w:val="Corpsdetexte"/>
    <w:rsid w:val="00B871B8"/>
    <w:rPr>
      <w:rFonts w:ascii="Calibri" w:hAnsi="Calibri"/>
      <w:sz w:val="22"/>
    </w:rPr>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customStyle="1" w:styleId="Listeactuelle1" w:type="numbering">
    <w:name w:val="Liste actuelle1"/>
    <w:uiPriority w:val="99"/>
    <w:rsid w:val="00B85D3B"/>
    <w:pPr>
      <w:numPr>
        <w:numId w:val="27"/>
      </w:numPr>
    </w:pPr>
  </w:style>
  <w:style w:customStyle="1" w:styleId="Listeactuelle2" w:type="numbering">
    <w:name w:val="Liste actuelle2"/>
    <w:uiPriority w:val="99"/>
    <w:rsid w:val="00B85D3B"/>
    <w:pPr>
      <w:numPr>
        <w:numId w:val="28"/>
      </w:numPr>
    </w:pPr>
  </w:style>
  <w:style w:customStyle="1" w:styleId="Listeactuelle3" w:type="numbering">
    <w:name w:val="Liste actuelle3"/>
    <w:uiPriority w:val="99"/>
    <w:rsid w:val="00B85D3B"/>
    <w:pPr>
      <w:numPr>
        <w:numId w:val="29"/>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hyperlink" Target="mailto:participant_14@some.email" TargetMode="External"/>
<Relationship Id="rId21" Type="http://schemas.openxmlformats.org/officeDocument/2006/relationships/aFChunk" Target=".//dft3_per_participant_text_intro_situation.docx"/>
<Relationship Id="rId22" Type="http://schemas.openxmlformats.org/officeDocument/2006/relationships/aFChunk" Target=".//dft3_per_participant_text_intro_method.docx"/>
<Relationship Id="rId23" Type="http://schemas.openxmlformats.org/officeDocument/2006/relationships/aFChunk" Target=".//dft3_per_participant_text_intro_preamble-sectionZ.docx"/>
<Relationship Id="rId24" Type="http://schemas.openxmlformats.org/officeDocument/2006/relationships/aFChunk" Target=".//dft3_per_participant_text_intro_sectionA.docx"/>
<Relationship Id="rId25" Type="http://schemas.openxmlformats.org/officeDocument/2006/relationships/aFChunk" Target=".//dft3_per_participant_text_intro_sectionB.docx"/>
<Relationship Id="rId26" Type="http://schemas.openxmlformats.org/officeDocument/2006/relationships/aFChunk" Target=".//dft3_per_participant_text_intro_sectionC.docx"/>
<Relationship Id="rId27" Type="http://schemas.openxmlformats.org/officeDocument/2006/relationships/image" Target="media/ef3a3f78853cf39d809af3f149c0d914344de21b.png"/>
<Relationship Id="rId28" Type="http://schemas.openxmlformats.org/officeDocument/2006/relationships/image" Target="media/179cd7b636fa27eb4874b4a445a9598b9fc90a8b.png"/>
<Relationship Id="rId29" Type="http://schemas.openxmlformats.org/officeDocument/2006/relationships/image" Target="media/9852c063bbc46999d2225ca144cdced2ccbf78dd.png"/>
<Relationship Id="rId30" Type="http://schemas.openxmlformats.org/officeDocument/2006/relationships/image" Target="media/c187eefed7cb7828b6a108dd6abd589a3ed5f0c1.png"/>
<Relationship Id="rId31" Type="http://schemas.openxmlformats.org/officeDocument/2006/relationships/image" Target="media/059bd8e804aec15cc2d637d45a999036fd50fc0b.png"/>
<Relationship Id="rId32" Type="http://schemas.openxmlformats.org/officeDocument/2006/relationships/image" Target="media/ddab2bb74606e09dab791fae1123329918de0913.png"/>
<Relationship Id="rId33" Type="http://schemas.openxmlformats.org/officeDocument/2006/relationships/image" Target="media/8a939a21f4c82815c8b92e905cf391afdd40923b.png"/>
<Relationship Id="rId34" Type="http://schemas.openxmlformats.org/officeDocument/2006/relationships/image" Target="media/420db4939e7623567af8335694ee88b7364113ce.png"/>
<Relationship Id="rId35" Type="http://schemas.openxmlformats.org/officeDocument/2006/relationships/image" Target="media/66d9bc8a7887720b2e2d0e0d7dd359a8b8083a32.png"/>
<Relationship Id="rId36" Type="http://schemas.openxmlformats.org/officeDocument/2006/relationships/image" Target="media/535bf461ec5be278fa3d23d913d0820385800500.png"/>
<Relationship Id="rId37" Type="http://schemas.openxmlformats.org/officeDocument/2006/relationships/image" Target="media/a2803abe69bfd498b542049be5ad1580963bfbe6.png"/>
<Relationship Id="rId38" Type="http://schemas.openxmlformats.org/officeDocument/2006/relationships/image" Target="media/6956d16b839ec42cc7170ea1d689b1c04a1ad1e6.png"/>
<Relationship Id="rId39" Type="http://schemas.openxmlformats.org/officeDocument/2006/relationships/image" Target="media/f3ce6c8e6198954ae5d80dd1c92897e3ffc16cfd.png"/>
<Relationship Id="rId40" Type="http://schemas.openxmlformats.org/officeDocument/2006/relationships/image" Target="media/879b00ca0d7c4006753326e79893e4725513f576.png"/>
<Relationship Id="rId41" Type="http://schemas.openxmlformats.org/officeDocument/2006/relationships/image" Target="media/ec547b107aee5960d2f30fe6960a92b13e756091.png"/>
<Relationship Id="rId42" Type="http://schemas.openxmlformats.org/officeDocument/2006/relationships/image" Target="media/3f0775866862182853411527305ab562f8f465cd.png"/>
<Relationship Id="rId43" Type="http://schemas.openxmlformats.org/officeDocument/2006/relationships/image" Target="media/f62acfb19ab8636e224abd29d1d62fb60feb961f.png"/>
<Relationship Id="rId44" Type="http://schemas.openxmlformats.org/officeDocument/2006/relationships/image" Target="media/bb37f9da71d78943cceb89f0b373ce178fd79c9b.png"/>
<Relationship Id="rId45" Type="http://schemas.openxmlformats.org/officeDocument/2006/relationships/image" Target="media/3952d46749b5daff9cd10dc05b4dbb8c8214dd8b.png"/>
<Relationship Id="rId46" Type="http://schemas.openxmlformats.org/officeDocument/2006/relationships/image" Target="media/910c08724ae967aad4597933ad28131b4bcf0574.png"/>
<Relationship Id="rId47" Type="http://schemas.openxmlformats.org/officeDocument/2006/relationships/image" Target="media/157508008ca2bbed34e9c55b1a873fcdd769b8a7.png"/>
<Relationship Id="rId48" Type="http://schemas.openxmlformats.org/officeDocument/2006/relationships/image" Target="media/486fe03adc596125b30d08f7ab03b21d65433bb6.png"/>
<Relationship Id="rId49" Type="http://schemas.openxmlformats.org/officeDocument/2006/relationships/image" Target="media/528a6a2504e2e0b00eb1ad584a5e0834ab104ea5.png"/>
<Relationship Id="rId50" Type="http://schemas.openxmlformats.org/officeDocument/2006/relationships/image" Target="media/f5a6c9f3b868b584de6f8cc353d3f3e5311fd304.png"/>
<Relationship Id="rId51" Type="http://schemas.openxmlformats.org/officeDocument/2006/relationships/image" Target="media/bc96185c8a0ad874b72a8c931db607fd9bc9e40f.png"/>
<Relationship Id="rId52" Type="http://schemas.openxmlformats.org/officeDocument/2006/relationships/image" Target="media/680cebac4eb4d5c39c5faa4a4034823ffab83c9c.png"/>
<Relationship Id="rId53" Type="http://schemas.openxmlformats.org/officeDocument/2006/relationships/image" Target="media/192bce808e4472a7aec53211400068641641f47e.png"/>
<Relationship Id="rId54" Type="http://schemas.openxmlformats.org/officeDocument/2006/relationships/image" Target="media/fc2851d4a654fb478e994bcf63d34a3ab90d698c.png"/>
<Relationship Id="rId55" Type="http://schemas.openxmlformats.org/officeDocument/2006/relationships/image" Target="media/2766a3fa4c3d9817ee7c00a6fcfc0418aa58256c.png"/>
<Relationship Id="rId56" Type="http://schemas.openxmlformats.org/officeDocument/2006/relationships/image" Target="media/0dac9ddfa977b83d120ec6d9906b084b5543d814.png"/>
<Relationship Id="rId57" Type="http://schemas.openxmlformats.org/officeDocument/2006/relationships/image" Target="media/a7352bfce7d9fe55ac84fad0c6a3f493c09b651c.png"/>
<Relationship Id="rId58" Type="http://schemas.openxmlformats.org/officeDocument/2006/relationships/image" Target="media/d78c24832eb46b61e76d523cdd0dc28c61ef0d19.png"/>
<Relationship Id="rId59" Type="http://schemas.openxmlformats.org/officeDocument/2006/relationships/image" Target="media/eb147d6ea5577a3b4b6a011d6e5d83b481149fae.png"/>
<Relationship Id="rId60" Type="http://schemas.openxmlformats.org/officeDocument/2006/relationships/image" Target="media/ffaf17a122faafbd608e5564677112abfb379edf.png"/>
<Relationship Id="rId61" Type="http://schemas.openxmlformats.org/officeDocument/2006/relationships/image" Target="media/b54bd0eca7fe9609800b61a40007b9bdd5382e94.png"/>
<Relationship Id="rId62" Type="http://schemas.openxmlformats.org/officeDocument/2006/relationships/image" Target="media/3f47272e91c0dd90af7078cb97ec3b4f7180d4c4.png"/>
<Relationship Id="rId63" Type="http://schemas.openxmlformats.org/officeDocument/2006/relationships/image" Target="media/248ef91ae157bb00433d7279b413c6a28aec3f94.png"/>
<Relationship Id="rId64" Type="http://schemas.openxmlformats.org/officeDocument/2006/relationships/image" Target="media/0fdf9830adc574d39a37f00554ba4e48d5aac135.png"/>
<Relationship Id="rId65" Type="http://schemas.openxmlformats.org/officeDocument/2006/relationships/image" Target="media/5c0e396dbc56d8bcdf1718d959ce3181b29c22dd.png"/>
<Relationship Id="rId66" Type="http://schemas.openxmlformats.org/officeDocument/2006/relationships/image" Target="media/50213507f79a95559e2c36aefb05ba6c94637310.png"/>
<Relationship Id="rId67" Type="http://schemas.openxmlformats.org/officeDocument/2006/relationships/image" Target="media/6a326a1e1b758ee301ec10308d7f843796550746.png"/>
<Relationship Id="rId68" Type="http://schemas.openxmlformats.org/officeDocument/2006/relationships/image" Target="media/352c729dd258f17a6d88512f11842133f5f53150.png"/>
<Relationship Id="rId69" Type="http://schemas.openxmlformats.org/officeDocument/2006/relationships/image" Target="media/4cecf8147f8219e53d1ea98f503032c3658fb59c.png"/>
<Relationship Id="rId70" Type="http://schemas.openxmlformats.org/officeDocument/2006/relationships/image" Target="media/3b0b6a6b54ce3028c99059fdf1631aa749ae9f6c.png"/>
<Relationship Id="rId71" Type="http://schemas.openxmlformats.org/officeDocument/2006/relationships/image" Target="media/beaf80b9a6c688bf1302aee7c8eb7d47cfade9eb.png"/>
<Relationship Id="rId72" Type="http://schemas.openxmlformats.org/officeDocument/2006/relationships/image" Target="media/639ba166d920f574d842d513d03890036332deec.png"/>
<Relationship Id="rId73" Type="http://schemas.openxmlformats.org/officeDocument/2006/relationships/image" Target="media/eee57e16eec1a4cc4fe37fc78d9a96fb5f60b84c.png"/>
<Relationship Id="rId74" Type="http://schemas.openxmlformats.org/officeDocument/2006/relationships/image" Target="media/f593678be7c30715f14858ea31eea8c4e458bc8f.png"/>
<Relationship Id="rId75" Type="http://schemas.openxmlformats.org/officeDocument/2006/relationships/image" Target="media/ceed03924319f389d21122686c7819ea530a5533.png"/>
<Relationship Id="rId76" Type="http://schemas.openxmlformats.org/officeDocument/2006/relationships/image" Target="media/8c6fa00d2ac055a45bc3576e1369bd725692b0e3.png"/>
</Relationships>

</file>

<file path=word/_rels/footnotes.xml.rels><?xml version="1.0" encoding="UTF-8" standalone="yes"?>

<Relationships  xmlns="http://schemas.openxmlformats.org/package/2006/relationships">
<Relationship Id="rId20" Type="http://schemas.openxmlformats.org/officeDocument/2006/relationships/hyperlink" Target="mailto:participant_14@some.e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582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Delphi fast-track – Puff Bars – 3e étape</dc:title>
  <dc:creator>Camille Velarde Crézé, Luc Lebon, Vincent Faivre, Olivier Duperrex - Unisanté</dc:creator>
  <cp:keywords/>
  <dcterms:created xsi:type="dcterms:W3CDTF">2024-02-05T14:23:51Z</dcterms:created>
  <dcterms:modified xsi:type="dcterms:W3CDTF">2024-02-05T15:23:58Z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05 février 2024</vt:lpwstr>
  </property>
  <property fmtid="{D5CDD505-2E9C-101B-9397-08002B2CF9AE}" pid="3" name="output">
    <vt:lpwstr/>
  </property>
  <property fmtid="{D5CDD505-2E9C-101B-9397-08002B2CF9AE}" pid="4" name="params">
    <vt:lpwstr/>
  </property>
  <property fmtid="{D5CDD505-2E9C-101B-9397-08002B2CF9AE}" pid="5" name="subtitle">
    <vt:lpwstr>Rapport pour participant∙e 14</vt:lpwstr>
  </property>
</Properties>
</file>