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Override PartName="/word/ExecutiveSummary_text_intro_situation.docx" ContentType="application/vnd.openxmlformats-officedocument.wordprocessingml.document.main+xml"/>
  <Override PartName="/word/ExecutiveSummary_text_intro_objectives.docx" ContentType="application/vnd.openxmlformats-officedocument.wordprocessingml.document.main+xml"/>
  <Override PartName="/word/ExecutiveSummary_text_intro_method.docx" ContentType="application/vnd.openxmlformats-officedocument.wordprocessingml.document.main+xml"/>
  <Override PartName="/word/ExecutiveSummary_text_intro_highlights.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Cigarettes</w:t>
      </w:r>
      <w:r>
        <w:t xml:space="preserve"> </w:t>
      </w:r>
      <w:r>
        <w:t xml:space="preserve">électroniques</w:t>
      </w:r>
      <w:r>
        <w:t xml:space="preserve"> </w:t>
      </w:r>
      <w:r>
        <w:t xml:space="preserve">jetables</w:t>
      </w:r>
      <w:r>
        <w:t xml:space="preserve"> </w:t>
      </w:r>
      <w:r>
        <w:t xml:space="preserve">:</w:t>
      </w:r>
      <w:r>
        <w:t xml:space="preserve"> </w:t>
      </w:r>
      <w:r>
        <w:t xml:space="preserve">réglementer?</w:t>
      </w:r>
    </w:p>
    <w:p>
      <w:pPr>
        <w:pStyle w:val="Sous-titre"/>
      </w:pPr>
      <w:r>
        <w:t xml:space="preserve">Consensus</w:t>
      </w:r>
      <w:r>
        <w:t xml:space="preserve"> </w:t>
      </w:r>
      <w:r>
        <w:t xml:space="preserve">d’expert</w:t>
      </w:r>
      <w:r>
        <w:t xml:space="preserve"> </w:t>
      </w:r>
      <w:r>
        <w:t xml:space="preserve">selon</w:t>
      </w:r>
      <w:r>
        <w:t xml:space="preserve"> </w:t>
      </w:r>
      <w:r>
        <w:t xml:space="preserve">une</w:t>
      </w:r>
      <w:r>
        <w:t xml:space="preserve"> </w:t>
      </w:r>
      <w:r>
        <w:t xml:space="preserve">approche</w:t>
      </w:r>
      <w:r>
        <w:t xml:space="preserve"> </w:t>
      </w:r>
      <w:r>
        <w:t xml:space="preserve">‘</w:t>
      </w:r>
      <w:r>
        <w:t xml:space="preserve">Delphi-Fast</w:t>
      </w:r>
      <w:r>
        <w:t xml:space="preserve"> </w:t>
      </w:r>
      <w:r>
        <w:t xml:space="preserve">track</w:t>
      </w:r>
      <w:r>
        <w:t xml:space="preserve">’</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bookmarkStart w:id="20" w:name="situation"/>
    <w:p>
      <w:pPr>
        <w:pStyle w:val="Titre1"/>
      </w:pPr>
      <w:r>
        <w:rPr>
          <w:rStyle w:val="SectionNumber"/>
        </w:rPr>
        <w:t xml:space="preserve">1</w:t>
      </w:r>
      <w:r>
        <w:tab/>
      </w:r>
      <w:r>
        <w:t xml:space="preserve">Situation</w:t>
      </w:r>
    </w:p>
    <w:altChunk r:id="rId23"/>
    <w:bookmarkEnd w:id="20"/>
    <w:bookmarkStart w:id="21" w:name="objectifs"/>
    <w:p>
      <w:pPr>
        <w:pStyle w:val="Titre1"/>
      </w:pPr>
      <w:r>
        <w:rPr>
          <w:rStyle w:val="SectionNumber"/>
        </w:rPr>
        <w:t xml:space="preserve">2</w:t>
      </w:r>
      <w:r>
        <w:tab/>
      </w:r>
      <w:r>
        <w:t xml:space="preserve">Objectifs</w:t>
      </w:r>
    </w:p>
    <w:altChunk r:id="rId24"/>
    <w:bookmarkEnd w:id="21"/>
    <w:bookmarkStart w:id="25" w:name="méthode"/>
    <w:p>
      <w:pPr>
        <w:pStyle w:val="Titre1"/>
      </w:pPr>
      <w:r>
        <w:rPr>
          <w:rStyle w:val="SectionNumber"/>
        </w:rPr>
        <w:t xml:space="preserve">3</w:t>
      </w:r>
      <w:r>
        <w:tab/>
      </w:r>
      <w:r>
        <w:t xml:space="preserve">Méthode</w:t>
      </w:r>
    </w:p>
    <w:altChunk r:id="rId25"/>
    <w:p>
      <w:pPr>
        <w:pStyle w:val="FirstParagraph"/>
      </w:pPr>
      <w:r>
        <w:drawing>
          <wp:inline>
            <wp:extent cx="5969000" cy="1135491"/>
            <wp:effectExtent b="0" l="0" r="0" t="0"/>
            <wp:docPr descr="" title="" id="1" name="Picture"/>
            <a:graphic>
              <a:graphicData uri="http://schemas.openxmlformats.org/drawingml/2006/picture">
                <pic:pic>
                  <pic:nvPicPr>
                    <pic:cNvPr descr="ExecutiveSummary_figure-Flow.png" id="2" name="Picture"/>
                    <pic:cNvPicPr>
                      <a:picLocks noChangeArrowheads="1" noChangeAspect="1"/>
                    </pic:cNvPicPr>
                  </pic:nvPicPr>
                  <pic:blipFill>
                    <a:blip r:embed="rId22"/>
                    <a:stretch>
                      <a:fillRect/>
                    </a:stretch>
                  </pic:blipFill>
                  <pic:spPr bwMode="auto">
                    <a:xfrm>
                      <a:off x="0" y="0"/>
                      <a:ext cx="5969000" cy="1135491"/>
                    </a:xfrm>
                    <a:prstGeom prst="rect">
                      <a:avLst/>
                    </a:prstGeom>
                    <a:noFill/>
                    <a:ln w="9525">
                      <a:noFill/>
                      <a:headEnd/>
                      <a:tailEnd/>
                    </a:ln>
                  </pic:spPr>
                </pic:pic>
              </a:graphicData>
            </a:graphic>
          </wp:inline>
        </w:drawing>
      </w:r>
    </w:p>
    <w:bookmarkEnd w:id="25"/>
    <w:bookmarkStart w:id="26" w:name="messages-clés"/>
    <w:p>
      <w:pPr>
        <w:pStyle w:val="Titre1"/>
      </w:pPr>
      <w:r>
        <w:rPr>
          <w:rStyle w:val="SectionNumber"/>
        </w:rPr>
        <w:t xml:space="preserve">4</w:t>
      </w:r>
      <w:r>
        <w:tab/>
      </w:r>
      <w:r>
        <w:t xml:space="preserve">Messages-clés</w:t>
      </w:r>
    </w:p>
    <w:altChunk r:id="rId26"/>
    <w:p>
      <w:r>
        <w:br w:type="page"/>
      </w:r>
    </w:p>
    <w:p>
      <w:pPr>
        <w:sectPr w:officer="true">
          <w:type w:val="continuous"/>
          <w:cols/>
          <w:pgSz w:h="15840" w:w="12240"/>
          <w:pgMar w:bottom="1418" w:footer="720" w:gutter="0" w:header="720" w:left="1418" w:right="1418" w:top="1418"/>
        </w:sectPr>
      </w:pPr>
    </w:p>
    <w:bookmarkEnd w:id="26"/>
    <w:bookmarkStart w:id="27" w:name="résultats"/>
    <w:p>
      <w:pPr>
        <w:pStyle w:val="Titre1"/>
      </w:pPr>
      <w:r>
        <w:rPr>
          <w:rStyle w:val="SectionNumber"/>
        </w:rPr>
        <w:t xml:space="preserve">5</w:t>
      </w:r>
      <w:r>
        <w:tab/>
      </w:r>
      <w:r>
        <w:t xml:space="preserve">Résultats</w:t>
      </w:r>
    </w:p>
    <w:tbl xmlns:w14="http://schemas.microsoft.com/office/word/2010/wordml">
      <w:tblPr>
        <w:tblLayout w:type="autofit"/>
        <w:jc w:val="center"/>
        <w:tblW w:type="pct" w:w="4000"/>
        <w:tblLook w:firstRow="1" w:lastRow="0" w:firstColumn="0" w:lastColumn="0" w:noHBand="0" w:noVBand="1"/>
      </w:tblPr>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32"/>
                <w:szCs w:val="32"/>
                <w:color w:val="666666"/>
              </w:rPr>
              <w:t xml:space="preserve">Accord consensuel atteint</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Médiane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[IQR]</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(1) Désaccord total ...</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 Accord total (9)</w:t>
            </w:r>
          </w:p>
        </w:tc>
      </w:tr>
      <w:tr>
        <w:trPr>
          <w:cantSplit/>
          <w:trHeight w:val="360" w:hRule="auto"/>
        </w:trPr>
        body 1
        <w:tc>
          <w:tcPr>
            <w:vMerge w:val="restart"/>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Z</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Problématique et interdiction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7"/>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8"/>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9"/>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0"/>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6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A - Composition du produit &amp; aspects marketing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Dans un but de transparence sur la composition du produit, les emballages devraient obligatoirement contenir la liste des composants du liquide.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publicité, la promotion et le parrainage pour les Puff Bars devrait être totalement interdite.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B - Vente, consommation, taxation &amp; prix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L'âge légal pour la vente et la remise (y compris en ligne) devrait être fixé à 18 ans minimum (interdiction de vente et remise aux mineurs).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Une part de la taxe devrait être affectée à des fins de prévention.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Dans un souci de contrôler l'offre, la vente de Puff Bars devrait être soumise à autorisation (i.e. permettant aux autorités d'avoir une liste officielle des points de vente).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2"/>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body21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C - Aspects écologiques &amp; éléments transversaux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Un avertissement sous forme de pictogramme devrait être affiché sur l'emballage afin de signaler qu'il s'agit d'un dispositif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5"/>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6"/>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Des données détaillées (par type de produit, y compris les Puff Bars) concernant la prévalence de la consommation devraient être collectées systématiquement sur une base annuelle.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7"/>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bl>
    <w:p>
      <w:r>
        <w:br w:type="page"/>
      </w:r>
    </w:p>
    <w:tbl xmlns:w14="http://schemas.microsoft.com/office/word/2010/wordml">
      <w:tblPr>
        <w:tblLayout w:type="autofit"/>
        <w:jc w:val="center"/>
        <w:tblW w:type="pct" w:w="4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32"/>
                <w:szCs w:val="32"/>
                <w:color w:val="666666"/>
              </w:rPr>
              <w:t xml:space="preserve">Désaccord consensuel atteint</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Médiane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[IQR]</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(1) Désaccord total ...</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 Accord total (9)</w:t>
            </w:r>
          </w:p>
        </w:tc>
      </w:tr>
    </w:tbl>
    <w:p>
      <w:r>
        <w:br w:type="page"/>
      </w:r>
    </w:p>
    <w:tbl xmlns:w14="http://schemas.microsoft.com/office/word/2010/wordml">
      <w:tblPr>
        <w:tblLayout w:type="autofit"/>
        <w:jc w:val="center"/>
        <w:tblW w:type="pct" w:w="4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32"/>
                <w:szCs w:val="32"/>
                <w:color w:val="666666"/>
              </w:rPr>
              <w:t xml:space="preserve">Absence de consensus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Médiane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[IQR]</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(1) Désaccord total ...</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 Accord total (9)</w:t>
            </w:r>
          </w:p>
        </w:tc>
      </w:tr>
      <w:tr>
        <w:trPr>
          <w:cantSplit/>
          <w:trHeight w:val="360" w:hRule="auto"/>
        </w:trPr>
        body1
        <w:tc>
          <w:tcPr>
            <w:vMerge w:val="restart"/>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Z</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Problématique et interdiction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8"/>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9"/>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A - Composition du produit &amp; aspects marketing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réglementation des Puff Bars devrait distinguer les différentes formes de nicotine : sels de nicotine - nicotine issue du plant de tabac vs. nicotine synthétique.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50"/>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51"/>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B - Vente, consommation, taxation &amp; prix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vente en ligne des Puff Bars peut continuer à être autorisée à la condition stricte qu'elle fasse l'objet d'un contrôle efficace et éprouvé de l'âge de l'acheteur.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2"/>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body9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C - Aspects écologiques &amp; éléments transversaux</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bl>
    <w:p>
      <w:pPr>
        <w:sectPr w:officer="true">
          <w:pgSz w:h="11906" w:w="16838" w:orient="landscape"/>
          <w:type w:val="oddPage"/>
          <w:cols/>
          <w:pgMar w:bottom="1418" w:footer="720" w:gutter="0" w:header="720" w:left="1418" w:right="1418" w:top="1418"/>
        </w:sectPr>
      </w:pPr>
    </w:p>
    <w:bookmarkEnd w:id="27"/>
    <w:sectPr w:rsidR="00972EC4"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760ABC44" w14:textId="0476FD2E"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sidR="00972EC4">
          <w:rPr>
            <w:rStyle w:val="Numrodepage"/>
          </w:rPr>
          <w:fldChar w:fldCharType="separate"/>
        </w:r>
        <w:r w:rsidR="00972EC4">
          <w:rPr>
            <w:rStyle w:val="Numrodepage"/>
            <w:noProof/>
          </w:rPr>
          <w:t>1</w:t>
        </w:r>
        <w:r>
          <w:rPr>
            <w:rStyle w:val="Numrodepage"/>
          </w:rPr>
          <w:fldChar w:fldCharType="end"/>
        </w:r>
      </w:p>
    </w:sdtContent>
  </w:sdt>
  <w:p w14:paraId="14E5678E"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1FF4C3EF"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515C5C">
          <w:rPr>
            <w:rStyle w:val="Numrodepage"/>
            <w:noProof/>
          </w:rPr>
          <w:t>2</w:t>
        </w:r>
        <w:r>
          <w:rPr>
            <w:rStyle w:val="Numrodepage"/>
          </w:rPr>
          <w:fldChar w:fldCharType="end"/>
        </w:r>
      </w:p>
    </w:sdtContent>
  </w:sdt>
  <w:p w14:paraId="0C0D7621"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7116D27A"/>
    <w:lvl w:ilvl="0">
      <w:start w:val="1"/>
      <w:numFmt w:val="decimal"/>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737363924" w:numId="1">
    <w:abstractNumId w:val="12"/>
  </w:num>
  <w:num w16cid:durableId="156576820" w:numId="2">
    <w:abstractNumId w:val="4"/>
  </w:num>
  <w:num w16cid:durableId="256519992" w:numId="3">
    <w:abstractNumId w:val="5"/>
  </w:num>
  <w:num w16cid:durableId="518853079" w:numId="4">
    <w:abstractNumId w:val="6"/>
  </w:num>
  <w:num w16cid:durableId="404962503" w:numId="5">
    <w:abstractNumId w:val="7"/>
  </w:num>
  <w:num w16cid:durableId="1722551959" w:numId="6">
    <w:abstractNumId w:val="9"/>
  </w:num>
  <w:num w16cid:durableId="1871650190" w:numId="7">
    <w:abstractNumId w:val="0"/>
  </w:num>
  <w:num w16cid:durableId="741605760" w:numId="8">
    <w:abstractNumId w:val="1"/>
  </w:num>
  <w:num w16cid:durableId="860826491" w:numId="9">
    <w:abstractNumId w:val="2"/>
  </w:num>
  <w:num w16cid:durableId="840240586" w:numId="10">
    <w:abstractNumId w:val="3"/>
  </w:num>
  <w:num w16cid:durableId="431560462" w:numId="11">
    <w:abstractNumId w:val="8"/>
  </w:num>
  <w:num w16cid:durableId="1389256134" w:numId="12">
    <w:abstractNumId w:val="22"/>
  </w:num>
  <w:num w16cid:durableId="1170750434" w:numId="13">
    <w:abstractNumId w:val="21"/>
  </w:num>
  <w:num w16cid:durableId="1044675817" w:numId="14">
    <w:abstractNumId w:val="20"/>
  </w:num>
  <w:num w16cid:durableId="1352075221" w:numId="15">
    <w:abstractNumId w:val="19"/>
  </w:num>
  <w:num w16cid:durableId="36319695" w:numId="16">
    <w:abstractNumId w:val="13"/>
  </w:num>
  <w:num w16cid:durableId="587882681" w:numId="17">
    <w:abstractNumId w:val="14"/>
  </w:num>
  <w:num w16cid:durableId="2104451740" w:numId="18">
    <w:abstractNumId w:val="24"/>
  </w:num>
  <w:num w16cid:durableId="1779369562" w:numId="19">
    <w:abstractNumId w:val="18"/>
  </w:num>
  <w:num w16cid:durableId="1792743272" w:numId="20">
    <w:abstractNumId w:val="23"/>
  </w:num>
  <w:num w16cid:durableId="1406102095" w:numId="21">
    <w:abstractNumId w:val="11"/>
  </w:num>
  <w:num w16cid:durableId="2119443616" w:numId="22">
    <w:abstractNumId w:val="15"/>
  </w:num>
  <w:num w16cid:durableId="1697998960" w:numId="23">
    <w:abstractNumId w:val="17"/>
  </w:num>
  <w:num w16cid:durableId="576208078" w:numId="24">
    <w:abstractNumId w:val="10"/>
  </w:num>
  <w:num w16cid:durableId="1960916276" w:numId="25">
    <w:abstractNumId w:val="16"/>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87236"/>
    <w:pPr>
      <w:spacing w:line="23" w:lineRule="atLeast"/>
    </w:pPr>
    <w:rPr>
      <w:rFonts w:ascii="Calibri" w:hAnsi="Calibri"/>
      <w:sz w:val="22"/>
    </w:rPr>
  </w:style>
  <w:style w:styleId="Titre1" w:type="paragraph">
    <w:name w:val="heading 1"/>
    <w:basedOn w:val="Normal"/>
    <w:next w:val="Corpsdetexte"/>
    <w:uiPriority w:val="9"/>
    <w:qFormat/>
    <w:rsid w:val="00742FEE"/>
    <w:pPr>
      <w:keepNext/>
      <w:keepLines/>
      <w:spacing w:after="0" w:before="360"/>
      <w:outlineLvl w:val="0"/>
    </w:pPr>
    <w:rPr>
      <w:rFonts w:asciiTheme="majorHAnsi" w:cstheme="majorBidi" w:eastAsiaTheme="majorEastAsia" w:hAnsiTheme="majorHAnsi"/>
      <w:b/>
      <w:bCs/>
      <w:color w:val="C00000"/>
      <w:sz w:val="32"/>
      <w:szCs w:val="32"/>
    </w:rPr>
  </w:style>
  <w:style w:styleId="Titre2" w:type="paragraph">
    <w:name w:val="heading 2"/>
    <w:basedOn w:val="Normal"/>
    <w:next w:val="Corpsdetexte"/>
    <w:uiPriority w:val="9"/>
    <w:unhideWhenUsed/>
    <w:qFormat/>
    <w:rsid w:val="00F97B1D"/>
    <w:pPr>
      <w:keepNext/>
      <w:keepLines/>
      <w:numPr>
        <w:ilvl w:val="1"/>
        <w:numId w:val="20"/>
      </w:numPr>
      <w:spacing w:after="120" w:before="200"/>
      <w:ind w:hanging="431" w:left="788"/>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412EF4"/>
    <w:pPr>
      <w:keepNext/>
      <w:keepLines/>
      <w:numPr>
        <w:ilvl w:val="2"/>
        <w:numId w:val="20"/>
      </w:numPr>
      <w:spacing w:after="120" w:before="200"/>
      <w:ind w:hanging="505" w:left="1225"/>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AC62F8"/>
    <w:pPr>
      <w:spacing w:after="180" w:before="180"/>
      <w:jc w:val="both"/>
    </w:pPr>
  </w:style>
  <w:style w:customStyle="1" w:styleId="FirstParagraph" w:type="paragraph">
    <w:name w:val="First Paragraph"/>
    <w:basedOn w:val="Corpsdetexte"/>
    <w:next w:val="Corpsdetexte"/>
    <w:qFormat/>
    <w:rsid w:val="00AC62F8"/>
  </w:style>
  <w:style w:customStyle="1" w:styleId="Compact" w:type="paragraph">
    <w:name w:val="Compact"/>
    <w:basedOn w:val="Corpsdetexte"/>
    <w:qFormat/>
    <w:rsid w:val="00515C5C"/>
    <w:pPr>
      <w:widowControl w:val="0"/>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AC62F8"/>
    <w:rPr>
      <w:b w:val="0"/>
      <w:i/>
      <w:sz w:val="24"/>
      <w:szCs w:val="30"/>
    </w:rPr>
  </w:style>
  <w:style w:customStyle="1" w:styleId="Author" w:type="paragraph">
    <w:name w:val="Author"/>
    <w:next w:val="Corpsdetexte"/>
    <w:qFormat/>
    <w:rsid w:val="00AC62F8"/>
    <w:pPr>
      <w:keepNext/>
      <w:keepLines/>
      <w:spacing w:after="120"/>
      <w:jc w:val="center"/>
    </w:pPr>
    <w:rPr>
      <w:rFonts w:ascii="Calibri" w:hAnsi="Calibri"/>
      <w:sz w:val="20"/>
    </w:rPr>
  </w:style>
  <w:style w:styleId="Date" w:type="paragraph">
    <w:name w:val="Date"/>
    <w:next w:val="Corpsdetexte"/>
    <w:qFormat/>
    <w:rsid w:val="00AC62F8"/>
    <w:pPr>
      <w:keepNext/>
      <w:keepLines/>
      <w:spacing w:after="120"/>
      <w:jc w:val="center"/>
    </w:pPr>
    <w:rPr>
      <w:rFonts w:ascii="Calibri" w:hAnsi="Calibri"/>
      <w:sz w:val="20"/>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EF1413"/>
    <w:pPr>
      <w:spacing w:after="120" w:before="240"/>
    </w:pPr>
    <w:rPr>
      <w:i/>
    </w:rPr>
  </w:style>
  <w:style w:customStyle="1" w:styleId="TableCaption" w:type="paragraph">
    <w:name w:val="Table Caption"/>
    <w:basedOn w:val="Lgende"/>
    <w:rsid w:val="00F97B1D"/>
    <w:pPr>
      <w:keepNext/>
      <w:jc w:val="center"/>
    </w:pPr>
  </w:style>
  <w:style w:customStyle="1" w:styleId="ImageCaption" w:type="paragraph">
    <w:name w:val="Image Caption"/>
    <w:basedOn w:val="TableCaption"/>
    <w:rsid w:val="00F97B1D"/>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EF1413"/>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AC62F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23" Type="http://schemas.openxmlformats.org/officeDocument/2006/relationships/aFChunk" Target=".//ExecutiveSummary_text_intro_situation.docx"/>
<Relationship Id="rId24" Type="http://schemas.openxmlformats.org/officeDocument/2006/relationships/aFChunk" Target=".//ExecutiveSummary_text_intro_objectives.docx"/>
<Relationship Id="rId25" Type="http://schemas.openxmlformats.org/officeDocument/2006/relationships/aFChunk" Target=".//ExecutiveSummary_text_intro_method.docx"/>
<Relationship Id="rId26" Type="http://schemas.openxmlformats.org/officeDocument/2006/relationships/aFChunk" Target=".//ExecutiveSummary_text_intro_highlights.docx"/>
<Relationship Id="rId27" Type="http://schemas.openxmlformats.org/officeDocument/2006/relationships/image" Target="media/f57648971b9fbbc6c1dcabf81dd9f1da8520d4b2.png"/>
<Relationship Id="rId28" Type="http://schemas.openxmlformats.org/officeDocument/2006/relationships/image" Target="media/9cbf60836252e90eca7fcd5c0d54b8cfc7d47ebe.png"/>
<Relationship Id="rId29" Type="http://schemas.openxmlformats.org/officeDocument/2006/relationships/image" Target="media/6c3f5613dbad781d69d4ecb9c620238a54be6b2d.png"/>
<Relationship Id="rId30" Type="http://schemas.openxmlformats.org/officeDocument/2006/relationships/image" Target="media/d4d506a1c37afedd6ece6b9f01c4333bf981286a.png"/>
<Relationship Id="rId31" Type="http://schemas.openxmlformats.org/officeDocument/2006/relationships/image" Target="media/c9a3a8ff540abf88e4b1fb5a8a1b3d4c1d20c408.png"/>
<Relationship Id="rId32" Type="http://schemas.openxmlformats.org/officeDocument/2006/relationships/image" Target="media/c4691bf195c073b4928cc9209c0d2ccfed9f50ed.png"/>
<Relationship Id="rId33" Type="http://schemas.openxmlformats.org/officeDocument/2006/relationships/image" Target="media/72a1cfa5049c04ad567de6dea47579869b702581.png"/>
<Relationship Id="rId34" Type="http://schemas.openxmlformats.org/officeDocument/2006/relationships/image" Target="media/554b7d51ab87ebc19c82258e9dc8fdf3f8807b90.png"/>
<Relationship Id="rId35" Type="http://schemas.openxmlformats.org/officeDocument/2006/relationships/image" Target="media/a0e652261997d98e9160b20fd4f891f08e434752.png"/>
<Relationship Id="rId36" Type="http://schemas.openxmlformats.org/officeDocument/2006/relationships/image" Target="media/0da3be71c0bc22bcd4c16a9cedc18478bf53e83e.png"/>
<Relationship Id="rId37" Type="http://schemas.openxmlformats.org/officeDocument/2006/relationships/image" Target="media/cabaf8cb6a581c99f09891006e2399450b174259.png"/>
<Relationship Id="rId38" Type="http://schemas.openxmlformats.org/officeDocument/2006/relationships/image" Target="media/39c419d0519eaee5f8b6b3a52487bec1b99098e1.png"/>
<Relationship Id="rId39" Type="http://schemas.openxmlformats.org/officeDocument/2006/relationships/image" Target="media/31e90c3715c83dc8753fd72e0548d0cca4741127.png"/>
<Relationship Id="rId40" Type="http://schemas.openxmlformats.org/officeDocument/2006/relationships/image" Target="media/c4654fc2691631ee6e82c3b00d46b5752d3f1a5e.png"/>
<Relationship Id="rId41" Type="http://schemas.openxmlformats.org/officeDocument/2006/relationships/image" Target="media/d4dedb5a69ff324d9f2d896898e79edd5c1a47a9.png"/>
<Relationship Id="rId42" Type="http://schemas.openxmlformats.org/officeDocument/2006/relationships/image" Target="media/4688a1c3cf2746fd0b9594908e731c31766a7947.png"/>
<Relationship Id="rId43" Type="http://schemas.openxmlformats.org/officeDocument/2006/relationships/image" Target="media/db770328a2dcf8b536c3346444e08e6a9932c79d.png"/>
<Relationship Id="rId44" Type="http://schemas.openxmlformats.org/officeDocument/2006/relationships/image" Target="media/6ed64c4206a222ec1db3e102910da7c02689e9f1.png"/>
<Relationship Id="rId45" Type="http://schemas.openxmlformats.org/officeDocument/2006/relationships/image" Target="media/445a79218d5383c47f5878b0a3872bf464c6e26c.png"/>
<Relationship Id="rId46" Type="http://schemas.openxmlformats.org/officeDocument/2006/relationships/image" Target="media/f2018ef3c6e4a39760fd60ee84fa1a486adc9ccc.png"/>
<Relationship Id="rId47" Type="http://schemas.openxmlformats.org/officeDocument/2006/relationships/image" Target="media/493f3497c9220fdfca27beb6d12b040885bad175.png"/>
<Relationship Id="rId48" Type="http://schemas.openxmlformats.org/officeDocument/2006/relationships/image" Target="media/83b8dc3451e3d5299ee972a5d07a9f317f0c783f.png"/>
<Relationship Id="rId49" Type="http://schemas.openxmlformats.org/officeDocument/2006/relationships/image" Target="media/979fcf58763966762c0b2180a670e8460d7f5e0f.png"/>
<Relationship Id="rId50" Type="http://schemas.openxmlformats.org/officeDocument/2006/relationships/image" Target="media/0ff1c6b943dba7de7aed0db0e6570877c0c99873.png"/>
<Relationship Id="rId51" Type="http://schemas.openxmlformats.org/officeDocument/2006/relationships/image" Target="media/91184d2f9b88155dd8b5526491ce7987d7340d5a.png"/>
<Relationship Id="rId52" Type="http://schemas.openxmlformats.org/officeDocument/2006/relationships/image" Target="media/397aacc996dbe1e7ee22301440c126cf50adda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Cigarettes électroniques jetables : réglementer?</dc:title>
  <dc:creator>Camille Velarde Crézé, Luc Lebon, Vincent Faivre, Olivier Duperrex - Unisanté</dc:creator>
  <cp:keywords/>
  <dcterms:created xsi:type="dcterms:W3CDTF">2023-09-26T10:46:17Z</dcterms:created>
  <dcterms:modified xsi:type="dcterms:W3CDTF">2023-09-26T12:46:19Z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subtitle">
    <vt:lpwstr>Consensus d’expert selon une approche ‘Delphi-Fast track’</vt:lpwstr>
  </property>
</Properties>
</file>