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CEE8" w14:textId="36C38922" w:rsidR="00EB1580" w:rsidRPr="004C2EB7" w:rsidRDefault="002F740D" w:rsidP="004C2EB7">
      <w:pPr>
        <w:spacing w:line="360" w:lineRule="auto"/>
        <w:jc w:val="center"/>
        <w:rPr>
          <w:rFonts w:ascii="Times New Roman" w:hAnsi="Times New Roman"/>
          <w:b/>
        </w:rPr>
      </w:pPr>
      <w:r>
        <w:rPr>
          <w:rFonts w:ascii="Times New Roman" w:hAnsi="Times New Roman"/>
          <w:b/>
        </w:rPr>
        <w:t>Spatiotemporal variations in p</w:t>
      </w:r>
      <w:r w:rsidR="00F23E45">
        <w:rPr>
          <w:rFonts w:ascii="Times New Roman" w:hAnsi="Times New Roman"/>
          <w:b/>
        </w:rPr>
        <w:t xml:space="preserve">rimary care physician </w:t>
      </w:r>
      <w:r w:rsidR="000A7137">
        <w:rPr>
          <w:rFonts w:ascii="Times New Roman" w:hAnsi="Times New Roman"/>
          <w:b/>
        </w:rPr>
        <w:t>density</w:t>
      </w:r>
      <w:r w:rsidR="00F23E45">
        <w:rPr>
          <w:rFonts w:ascii="Times New Roman" w:hAnsi="Times New Roman"/>
          <w:b/>
        </w:rPr>
        <w:t xml:space="preserve"> and </w:t>
      </w:r>
      <w:r w:rsidR="00F07C59">
        <w:rPr>
          <w:rFonts w:ascii="Times New Roman" w:hAnsi="Times New Roman"/>
          <w:b/>
        </w:rPr>
        <w:t xml:space="preserve">population </w:t>
      </w:r>
      <w:r w:rsidR="00F23E45">
        <w:rPr>
          <w:rFonts w:ascii="Times New Roman" w:hAnsi="Times New Roman"/>
          <w:b/>
        </w:rPr>
        <w:t>mortality across U.S. counties, 2005-2015</w:t>
      </w:r>
    </w:p>
    <w:p w14:paraId="50426A74" w14:textId="77777777" w:rsidR="00EB1580" w:rsidRPr="004C2EB7" w:rsidRDefault="00EB1580" w:rsidP="004C2EB7">
      <w:pPr>
        <w:spacing w:line="360" w:lineRule="auto"/>
        <w:jc w:val="center"/>
        <w:rPr>
          <w:rFonts w:ascii="Times New Roman" w:hAnsi="Times New Roman"/>
        </w:rPr>
      </w:pPr>
    </w:p>
    <w:p w14:paraId="1EFACB9E" w14:textId="05D1E90B" w:rsidR="00EB1580" w:rsidRPr="00F23E45" w:rsidRDefault="00EB1580" w:rsidP="004C2EB7">
      <w:pPr>
        <w:spacing w:line="360" w:lineRule="auto"/>
        <w:jc w:val="center"/>
        <w:rPr>
          <w:rFonts w:ascii="Times New Roman" w:hAnsi="Times New Roman"/>
          <w:vertAlign w:val="superscript"/>
        </w:rPr>
      </w:pPr>
      <w:commentRangeStart w:id="0"/>
      <w:r w:rsidRPr="004C2EB7">
        <w:rPr>
          <w:rFonts w:ascii="Times New Roman" w:hAnsi="Times New Roman"/>
        </w:rPr>
        <w:t>Sanjay Basu</w:t>
      </w:r>
      <w:r w:rsidR="00D92EB3">
        <w:rPr>
          <w:rFonts w:ascii="Times New Roman" w:hAnsi="Times New Roman"/>
          <w:vertAlign w:val="superscript"/>
        </w:rPr>
        <w:t>1,2</w:t>
      </w:r>
      <w:r w:rsidRPr="004C2EB7">
        <w:rPr>
          <w:rFonts w:ascii="Times New Roman" w:hAnsi="Times New Roman"/>
          <w:vertAlign w:val="superscript"/>
        </w:rPr>
        <w:t>*</w:t>
      </w:r>
      <w:r w:rsidRPr="004C2EB7">
        <w:rPr>
          <w:rFonts w:ascii="Times New Roman" w:hAnsi="Times New Roman"/>
        </w:rPr>
        <w:t>,</w:t>
      </w:r>
      <w:r w:rsidR="00F23E45">
        <w:rPr>
          <w:rFonts w:ascii="Times New Roman" w:hAnsi="Times New Roman"/>
        </w:rPr>
        <w:t xml:space="preserve"> </w:t>
      </w:r>
      <w:r w:rsidR="00BC4F9F">
        <w:rPr>
          <w:rFonts w:ascii="Times New Roman" w:hAnsi="Times New Roman"/>
        </w:rPr>
        <w:t>Seth A. Berkowitz</w:t>
      </w:r>
      <w:r w:rsidR="00BC4F9F">
        <w:rPr>
          <w:rFonts w:ascii="Times New Roman" w:hAnsi="Times New Roman"/>
          <w:vertAlign w:val="superscript"/>
        </w:rPr>
        <w:t>3</w:t>
      </w:r>
      <w:r w:rsidR="00BC4F9F">
        <w:rPr>
          <w:rFonts w:ascii="Times New Roman" w:hAnsi="Times New Roman"/>
        </w:rPr>
        <w:t xml:space="preserve">, </w:t>
      </w:r>
      <w:r w:rsidR="00F23E45">
        <w:rPr>
          <w:rFonts w:ascii="Times New Roman" w:hAnsi="Times New Roman"/>
        </w:rPr>
        <w:t>Russell S. Phillips</w:t>
      </w:r>
      <w:r w:rsidR="00F23E45">
        <w:rPr>
          <w:rFonts w:ascii="Times New Roman" w:hAnsi="Times New Roman"/>
          <w:vertAlign w:val="superscript"/>
        </w:rPr>
        <w:t>2</w:t>
      </w:r>
    </w:p>
    <w:p w14:paraId="16624052" w14:textId="77777777" w:rsidR="00EB1580" w:rsidRPr="005D1FD3" w:rsidRDefault="00EB1580" w:rsidP="00EB1580">
      <w:pPr>
        <w:spacing w:line="360" w:lineRule="auto"/>
        <w:rPr>
          <w:rFonts w:ascii="Times New Roman" w:hAnsi="Times New Roman"/>
        </w:rPr>
      </w:pPr>
    </w:p>
    <w:p w14:paraId="524A4E0C" w14:textId="77777777" w:rsidR="005D1FD3" w:rsidRPr="005D1FD3" w:rsidRDefault="005D1FD3" w:rsidP="005D1FD3">
      <w:pPr>
        <w:spacing w:line="360" w:lineRule="auto"/>
        <w:rPr>
          <w:rFonts w:ascii="Times New Roman" w:hAnsi="Times New Roman"/>
        </w:rPr>
      </w:pPr>
    </w:p>
    <w:p w14:paraId="07A10E69" w14:textId="03B2F5B5" w:rsidR="005D1FD3" w:rsidRPr="005D1FD3" w:rsidRDefault="005D1FD3" w:rsidP="005D1FD3">
      <w:pPr>
        <w:spacing w:line="360" w:lineRule="auto"/>
        <w:outlineLvl w:val="0"/>
        <w:rPr>
          <w:rFonts w:ascii="Times New Roman" w:hAnsi="Times New Roman"/>
        </w:rPr>
      </w:pPr>
      <w:r w:rsidRPr="005D1FD3">
        <w:rPr>
          <w:rFonts w:ascii="Times New Roman" w:hAnsi="Times New Roman"/>
          <w:vertAlign w:val="superscript"/>
        </w:rPr>
        <w:t>1</w:t>
      </w:r>
      <w:r w:rsidRPr="005D1FD3">
        <w:rPr>
          <w:rFonts w:ascii="Times New Roman" w:hAnsi="Times New Roman"/>
        </w:rPr>
        <w:t xml:space="preserve"> </w:t>
      </w:r>
      <w:r w:rsidR="003951C1">
        <w:rPr>
          <w:rFonts w:ascii="Times New Roman" w:hAnsi="Times New Roman"/>
        </w:rPr>
        <w:t>Center for Primary Care and Outcomes Research</w:t>
      </w:r>
      <w:r w:rsidRPr="005D1FD3">
        <w:rPr>
          <w:rFonts w:ascii="Times New Roman" w:hAnsi="Times New Roman"/>
        </w:rPr>
        <w:t xml:space="preserve"> and Center for Population Health Sciences, </w:t>
      </w:r>
      <w:r w:rsidR="003951C1">
        <w:rPr>
          <w:rFonts w:ascii="Times New Roman" w:hAnsi="Times New Roman"/>
        </w:rPr>
        <w:t xml:space="preserve">Departments of Medicine and of Health Research and Policy, </w:t>
      </w:r>
      <w:r w:rsidRPr="005D1FD3">
        <w:rPr>
          <w:rFonts w:ascii="Times New Roman" w:hAnsi="Times New Roman"/>
        </w:rPr>
        <w:t>Stanford University</w:t>
      </w:r>
    </w:p>
    <w:p w14:paraId="48B282C6" w14:textId="77777777" w:rsidR="005D1FD3" w:rsidRDefault="005D1FD3" w:rsidP="005D1FD3">
      <w:pPr>
        <w:spacing w:line="360" w:lineRule="auto"/>
        <w:rPr>
          <w:rFonts w:ascii="Times New Roman" w:hAnsi="Times New Roman"/>
        </w:rPr>
      </w:pPr>
      <w:r w:rsidRPr="005D1FD3">
        <w:rPr>
          <w:rFonts w:ascii="Times New Roman" w:hAnsi="Times New Roman"/>
          <w:vertAlign w:val="superscript"/>
        </w:rPr>
        <w:t>2</w:t>
      </w:r>
      <w:r w:rsidRPr="005D1FD3">
        <w:rPr>
          <w:rFonts w:ascii="Times New Roman" w:hAnsi="Times New Roman"/>
        </w:rPr>
        <w:t xml:space="preserve"> Center for Primary Care, Harvard Medical School</w:t>
      </w:r>
    </w:p>
    <w:p w14:paraId="60E6043D" w14:textId="18756ED4" w:rsidR="00BC4F9F" w:rsidRPr="00BC4F9F" w:rsidRDefault="00BC4F9F" w:rsidP="005D1FD3">
      <w:pPr>
        <w:spacing w:line="360" w:lineRule="auto"/>
        <w:rPr>
          <w:rFonts w:ascii="Times New Roman" w:hAnsi="Times New Roman"/>
        </w:rPr>
      </w:pPr>
      <w:r>
        <w:rPr>
          <w:rFonts w:ascii="Times New Roman" w:hAnsi="Times New Roman"/>
          <w:vertAlign w:val="superscript"/>
        </w:rPr>
        <w:t>3</w:t>
      </w:r>
      <w:r>
        <w:rPr>
          <w:rFonts w:ascii="Times New Roman" w:hAnsi="Times New Roman"/>
        </w:rPr>
        <w:t xml:space="preserve"> </w:t>
      </w:r>
      <w:r w:rsidR="000E2972">
        <w:rPr>
          <w:rFonts w:ascii="Times New Roman" w:hAnsi="Times New Roman"/>
        </w:rPr>
        <w:t xml:space="preserve">Department of </w:t>
      </w:r>
      <w:r>
        <w:rPr>
          <w:rFonts w:ascii="Times New Roman" w:hAnsi="Times New Roman"/>
        </w:rPr>
        <w:t>General Medicine and Clinical Epidemiology, University of North Carolina at Chapel Hill</w:t>
      </w:r>
    </w:p>
    <w:p w14:paraId="034FBB5A" w14:textId="77777777" w:rsidR="005D1FD3" w:rsidRPr="005D1FD3" w:rsidRDefault="005D1FD3" w:rsidP="005D1FD3">
      <w:pPr>
        <w:spacing w:line="360" w:lineRule="auto"/>
        <w:rPr>
          <w:rFonts w:ascii="Times New Roman" w:hAnsi="Times New Roman"/>
        </w:rPr>
      </w:pPr>
    </w:p>
    <w:p w14:paraId="24D321DF" w14:textId="77777777" w:rsidR="005D1FD3" w:rsidRPr="005D1FD3" w:rsidRDefault="005D1FD3" w:rsidP="005D1FD3">
      <w:pPr>
        <w:spacing w:line="360" w:lineRule="auto"/>
        <w:rPr>
          <w:rFonts w:ascii="Times New Roman" w:hAnsi="Times New Roman"/>
        </w:rPr>
      </w:pPr>
      <w:r w:rsidRPr="005D1FD3">
        <w:rPr>
          <w:rFonts w:ascii="Times New Roman" w:hAnsi="Times New Roman"/>
        </w:rPr>
        <w:t>*to whom correspondence should be addressed:</w:t>
      </w:r>
    </w:p>
    <w:p w14:paraId="52C72801" w14:textId="77777777" w:rsidR="005D1FD3" w:rsidRPr="005D1FD3" w:rsidRDefault="005D1FD3" w:rsidP="005D1FD3">
      <w:pPr>
        <w:spacing w:line="360" w:lineRule="auto"/>
        <w:rPr>
          <w:rFonts w:ascii="Times New Roman" w:hAnsi="Times New Roman"/>
        </w:rPr>
      </w:pPr>
      <w:r w:rsidRPr="005D1FD3">
        <w:rPr>
          <w:rFonts w:ascii="Times New Roman" w:hAnsi="Times New Roman"/>
        </w:rPr>
        <w:t xml:space="preserve">1070 </w:t>
      </w:r>
      <w:proofErr w:type="spellStart"/>
      <w:r w:rsidRPr="005D1FD3">
        <w:rPr>
          <w:rFonts w:ascii="Times New Roman" w:hAnsi="Times New Roman"/>
        </w:rPr>
        <w:t>Arastradero</w:t>
      </w:r>
      <w:proofErr w:type="spellEnd"/>
      <w:r w:rsidRPr="005D1FD3">
        <w:rPr>
          <w:rFonts w:ascii="Times New Roman" w:hAnsi="Times New Roman"/>
        </w:rPr>
        <w:t xml:space="preserve"> Road Office 282, MC 5560</w:t>
      </w:r>
      <w:r w:rsidRPr="005D1FD3">
        <w:rPr>
          <w:rFonts w:ascii="Times New Roman" w:hAnsi="Times New Roman"/>
        </w:rPr>
        <w:br/>
        <w:t>Palo Alto, CA 94304</w:t>
      </w:r>
      <w:r w:rsidRPr="005D1FD3">
        <w:rPr>
          <w:rFonts w:ascii="Times New Roman" w:hAnsi="Times New Roman"/>
        </w:rPr>
        <w:br/>
        <w:t>Telephone: (650) 498-5678</w:t>
      </w:r>
      <w:r w:rsidRPr="005D1FD3">
        <w:rPr>
          <w:rFonts w:ascii="Times New Roman" w:hAnsi="Times New Roman"/>
        </w:rPr>
        <w:br/>
        <w:t>Fax: (650) 498-8258</w:t>
      </w:r>
    </w:p>
    <w:p w14:paraId="3D567D7D" w14:textId="77777777" w:rsidR="005D1FD3" w:rsidRPr="005D1FD3" w:rsidRDefault="005D1FD3" w:rsidP="005D1FD3">
      <w:pPr>
        <w:spacing w:line="360" w:lineRule="auto"/>
        <w:rPr>
          <w:rFonts w:ascii="Times New Roman" w:hAnsi="Times New Roman"/>
        </w:rPr>
      </w:pPr>
      <w:r w:rsidRPr="005D1FD3">
        <w:rPr>
          <w:rFonts w:ascii="Times New Roman" w:hAnsi="Times New Roman"/>
        </w:rPr>
        <w:t>Email: basus@stanford.edu</w:t>
      </w:r>
      <w:commentRangeEnd w:id="0"/>
      <w:r w:rsidR="002D1C8D">
        <w:rPr>
          <w:rStyle w:val="CommentReference"/>
        </w:rPr>
        <w:commentReference w:id="0"/>
      </w:r>
    </w:p>
    <w:p w14:paraId="3A18F70F" w14:textId="77777777" w:rsidR="00EB1580" w:rsidRPr="004C2EB7" w:rsidRDefault="00EB1580" w:rsidP="00EB1580">
      <w:pPr>
        <w:spacing w:line="360" w:lineRule="auto"/>
        <w:rPr>
          <w:rFonts w:ascii="Times New Roman" w:hAnsi="Times New Roman"/>
        </w:rPr>
      </w:pPr>
    </w:p>
    <w:p w14:paraId="6ACABB56" w14:textId="77777777" w:rsidR="00EB1580" w:rsidRPr="004C2EB7" w:rsidRDefault="00EB1580" w:rsidP="00EB1580">
      <w:pPr>
        <w:spacing w:line="360" w:lineRule="auto"/>
        <w:rPr>
          <w:rFonts w:ascii="Times New Roman" w:hAnsi="Times New Roman"/>
        </w:rPr>
      </w:pPr>
    </w:p>
    <w:p w14:paraId="7E81B79E" w14:textId="0FD4B7EB" w:rsidR="00EB1580" w:rsidRPr="004C2EB7" w:rsidRDefault="00EB1580" w:rsidP="00EB1580">
      <w:pPr>
        <w:spacing w:line="360" w:lineRule="auto"/>
        <w:rPr>
          <w:rFonts w:ascii="Times New Roman" w:hAnsi="Times New Roman"/>
        </w:rPr>
      </w:pPr>
      <w:commentRangeStart w:id="1"/>
      <w:r w:rsidRPr="004C2EB7">
        <w:rPr>
          <w:rFonts w:ascii="Times New Roman" w:hAnsi="Times New Roman"/>
        </w:rPr>
        <w:t>Word count</w:t>
      </w:r>
      <w:commentRangeEnd w:id="1"/>
      <w:r w:rsidR="00DB0FC1">
        <w:rPr>
          <w:rStyle w:val="CommentReference"/>
        </w:rPr>
        <w:commentReference w:id="1"/>
      </w:r>
      <w:r w:rsidRPr="004C2EB7">
        <w:rPr>
          <w:rFonts w:ascii="Times New Roman" w:hAnsi="Times New Roman"/>
        </w:rPr>
        <w:t>:</w:t>
      </w:r>
      <w:r w:rsidR="00CF27EC">
        <w:rPr>
          <w:rFonts w:ascii="Times New Roman" w:hAnsi="Times New Roman"/>
        </w:rPr>
        <w:tab/>
      </w:r>
      <w:r w:rsidR="00322A94">
        <w:rPr>
          <w:rFonts w:ascii="Times New Roman" w:hAnsi="Times New Roman"/>
        </w:rPr>
        <w:t>3,096</w:t>
      </w:r>
    </w:p>
    <w:p w14:paraId="516E1F75" w14:textId="77777777" w:rsidR="00EB1580" w:rsidRPr="004C2EB7" w:rsidRDefault="00EB1580" w:rsidP="00EB1580">
      <w:pPr>
        <w:spacing w:line="360" w:lineRule="auto"/>
        <w:rPr>
          <w:rFonts w:ascii="Times New Roman" w:hAnsi="Times New Roman"/>
        </w:rPr>
      </w:pPr>
    </w:p>
    <w:p w14:paraId="08B9BD79" w14:textId="77777777" w:rsidR="00EB1580" w:rsidRPr="004C2EB7" w:rsidRDefault="00EB1580" w:rsidP="00EB1580">
      <w:pPr>
        <w:spacing w:line="360" w:lineRule="auto"/>
        <w:rPr>
          <w:rFonts w:ascii="Times New Roman" w:hAnsi="Times New Roman"/>
        </w:rPr>
      </w:pPr>
      <w:r w:rsidRPr="004C2EB7">
        <w:rPr>
          <w:rFonts w:ascii="Times New Roman" w:hAnsi="Times New Roman"/>
        </w:rPr>
        <w:t xml:space="preserve">Keywords: </w:t>
      </w:r>
      <w:r w:rsidR="00662E32">
        <w:rPr>
          <w:rFonts w:ascii="Times New Roman" w:hAnsi="Times New Roman"/>
        </w:rPr>
        <w:tab/>
        <w:t>primary care, life expectancy, health disparities</w:t>
      </w:r>
      <w:r w:rsidRPr="004C2EB7">
        <w:rPr>
          <w:rFonts w:ascii="Times New Roman" w:hAnsi="Times New Roman"/>
        </w:rPr>
        <w:br w:type="column"/>
      </w:r>
      <w:commentRangeStart w:id="2"/>
      <w:r w:rsidRPr="004C2EB7">
        <w:rPr>
          <w:rFonts w:ascii="Times New Roman" w:hAnsi="Times New Roman"/>
          <w:b/>
        </w:rPr>
        <w:lastRenderedPageBreak/>
        <w:t>Abstract</w:t>
      </w:r>
      <w:commentRangeEnd w:id="2"/>
      <w:r w:rsidR="002D1C8D">
        <w:rPr>
          <w:rStyle w:val="CommentReference"/>
        </w:rPr>
        <w:commentReference w:id="2"/>
      </w:r>
    </w:p>
    <w:p w14:paraId="58A688FF" w14:textId="77777777" w:rsidR="00EB1580" w:rsidRPr="004C2EB7" w:rsidRDefault="00EB1580" w:rsidP="00EB1580">
      <w:pPr>
        <w:spacing w:line="360" w:lineRule="auto"/>
        <w:rPr>
          <w:rFonts w:ascii="Times New Roman" w:hAnsi="Times New Roman"/>
        </w:rPr>
      </w:pPr>
    </w:p>
    <w:p w14:paraId="07E287C4" w14:textId="7597791F" w:rsidR="002D1C8D" w:rsidRDefault="002D1C8D" w:rsidP="00EB1580">
      <w:pPr>
        <w:spacing w:line="360" w:lineRule="auto"/>
        <w:rPr>
          <w:rFonts w:ascii="Times New Roman" w:hAnsi="Times New Roman"/>
        </w:rPr>
      </w:pPr>
      <w:r>
        <w:rPr>
          <w:rFonts w:ascii="Times New Roman" w:hAnsi="Times New Roman"/>
        </w:rPr>
        <w:t>Objectives:</w:t>
      </w:r>
      <w:r w:rsidR="005A4E46">
        <w:rPr>
          <w:rFonts w:ascii="Times New Roman" w:hAnsi="Times New Roman"/>
        </w:rPr>
        <w:tab/>
        <w:t xml:space="preserve">To </w:t>
      </w:r>
      <w:r w:rsidR="0046399B">
        <w:rPr>
          <w:rFonts w:ascii="Times New Roman" w:hAnsi="Times New Roman"/>
        </w:rPr>
        <w:t>assess</w:t>
      </w:r>
      <w:r w:rsidR="005A4E46">
        <w:rPr>
          <w:rFonts w:ascii="Times New Roman" w:hAnsi="Times New Roman"/>
        </w:rPr>
        <w:t xml:space="preserve"> </w:t>
      </w:r>
      <w:r w:rsidR="008912DE">
        <w:rPr>
          <w:rFonts w:ascii="Times New Roman" w:hAnsi="Times New Roman"/>
        </w:rPr>
        <w:t xml:space="preserve">recent </w:t>
      </w:r>
      <w:r w:rsidR="002F740D">
        <w:rPr>
          <w:rFonts w:ascii="Times New Roman" w:hAnsi="Times New Roman"/>
        </w:rPr>
        <w:t>spatiotemporal variations in</w:t>
      </w:r>
      <w:r w:rsidR="00CA2822">
        <w:rPr>
          <w:rFonts w:ascii="Times New Roman" w:hAnsi="Times New Roman"/>
        </w:rPr>
        <w:t xml:space="preserve"> </w:t>
      </w:r>
      <w:r w:rsidR="005A4E46">
        <w:rPr>
          <w:rFonts w:ascii="Times New Roman" w:hAnsi="Times New Roman"/>
        </w:rPr>
        <w:t>primary care physician</w:t>
      </w:r>
      <w:r w:rsidR="000A7137">
        <w:rPr>
          <w:rFonts w:ascii="Times New Roman" w:hAnsi="Times New Roman"/>
        </w:rPr>
        <w:t xml:space="preserve"> </w:t>
      </w:r>
      <w:proofErr w:type="gramStart"/>
      <w:r w:rsidR="000A7137">
        <w:rPr>
          <w:rFonts w:ascii="Times New Roman" w:hAnsi="Times New Roman"/>
        </w:rPr>
        <w:t>density</w:t>
      </w:r>
      <w:r w:rsidR="002F740D">
        <w:rPr>
          <w:rFonts w:ascii="Times New Roman" w:hAnsi="Times New Roman"/>
        </w:rPr>
        <w:t>, and</w:t>
      </w:r>
      <w:proofErr w:type="gramEnd"/>
      <w:r w:rsidR="002F740D">
        <w:rPr>
          <w:rFonts w:ascii="Times New Roman" w:hAnsi="Times New Roman"/>
        </w:rPr>
        <w:t xml:space="preserve"> identify whether those variations </w:t>
      </w:r>
      <w:r w:rsidR="003F35F2">
        <w:rPr>
          <w:rFonts w:ascii="Times New Roman" w:hAnsi="Times New Roman"/>
        </w:rPr>
        <w:t>relate</w:t>
      </w:r>
      <w:r w:rsidR="005A4E46">
        <w:rPr>
          <w:rFonts w:ascii="Times New Roman" w:hAnsi="Times New Roman"/>
        </w:rPr>
        <w:t xml:space="preserve"> to</w:t>
      </w:r>
      <w:r w:rsidR="006B3D66">
        <w:rPr>
          <w:rFonts w:ascii="Times New Roman" w:hAnsi="Times New Roman"/>
        </w:rPr>
        <w:t xml:space="preserve"> </w:t>
      </w:r>
      <w:r w:rsidR="005A4E46">
        <w:rPr>
          <w:rFonts w:ascii="Times New Roman" w:hAnsi="Times New Roman"/>
        </w:rPr>
        <w:t>variatio</w:t>
      </w:r>
      <w:r w:rsidR="006B3D66">
        <w:rPr>
          <w:rFonts w:ascii="Times New Roman" w:hAnsi="Times New Roman"/>
        </w:rPr>
        <w:t>n</w:t>
      </w:r>
      <w:r w:rsidR="00C03B95">
        <w:rPr>
          <w:rFonts w:ascii="Times New Roman" w:hAnsi="Times New Roman"/>
        </w:rPr>
        <w:t>s</w:t>
      </w:r>
      <w:r w:rsidR="005A4E46">
        <w:rPr>
          <w:rFonts w:ascii="Times New Roman" w:hAnsi="Times New Roman"/>
        </w:rPr>
        <w:t xml:space="preserve"> in life expectancy and cause-specific mortality</w:t>
      </w:r>
      <w:r w:rsidR="006B3D66">
        <w:rPr>
          <w:rFonts w:ascii="Times New Roman" w:hAnsi="Times New Roman"/>
        </w:rPr>
        <w:t xml:space="preserve"> among U.S. counties</w:t>
      </w:r>
      <w:r w:rsidR="005A4E46">
        <w:rPr>
          <w:rFonts w:ascii="Times New Roman" w:hAnsi="Times New Roman"/>
        </w:rPr>
        <w:t>.</w:t>
      </w:r>
    </w:p>
    <w:p w14:paraId="187F179D" w14:textId="0930C170" w:rsidR="002D1C8D" w:rsidRDefault="002D1C8D" w:rsidP="00EB1580">
      <w:pPr>
        <w:spacing w:line="360" w:lineRule="auto"/>
        <w:rPr>
          <w:rFonts w:ascii="Times New Roman" w:hAnsi="Times New Roman"/>
        </w:rPr>
      </w:pPr>
      <w:r>
        <w:rPr>
          <w:rFonts w:ascii="Times New Roman" w:hAnsi="Times New Roman"/>
        </w:rPr>
        <w:t>Methods:</w:t>
      </w:r>
      <w:r w:rsidR="005A4E46">
        <w:rPr>
          <w:rFonts w:ascii="Times New Roman" w:hAnsi="Times New Roman"/>
        </w:rPr>
        <w:tab/>
        <w:t xml:space="preserve">Repeated cross-sectional fixed effects and first-differences regressions of primary care physician </w:t>
      </w:r>
      <w:r w:rsidR="000B56C9">
        <w:rPr>
          <w:rFonts w:ascii="Times New Roman" w:hAnsi="Times New Roman"/>
        </w:rPr>
        <w:t>density</w:t>
      </w:r>
      <w:r w:rsidR="005A4E46">
        <w:rPr>
          <w:rFonts w:ascii="Times New Roman" w:hAnsi="Times New Roman"/>
        </w:rPr>
        <w:t xml:space="preserve"> against </w:t>
      </w:r>
      <w:r w:rsidR="007D07BF" w:rsidRPr="007D07BF">
        <w:rPr>
          <w:rFonts w:ascii="Times New Roman" w:hAnsi="Times New Roman"/>
        </w:rPr>
        <w:t xml:space="preserve">age-standardized </w:t>
      </w:r>
      <w:r w:rsidR="005A4E46">
        <w:rPr>
          <w:rFonts w:ascii="Times New Roman" w:hAnsi="Times New Roman"/>
        </w:rPr>
        <w:t>life-expectancy and cause-specific mortality</w:t>
      </w:r>
      <w:r w:rsidR="006B3D66">
        <w:rPr>
          <w:rFonts w:ascii="Times New Roman" w:hAnsi="Times New Roman"/>
        </w:rPr>
        <w:t xml:space="preserve"> over the period 2005 to 2015</w:t>
      </w:r>
      <w:r w:rsidR="004F5533">
        <w:rPr>
          <w:rFonts w:ascii="Times New Roman" w:hAnsi="Times New Roman"/>
        </w:rPr>
        <w:t xml:space="preserve"> at the level of US counties (N = 3,142)</w:t>
      </w:r>
      <w:r w:rsidR="005A4E46">
        <w:rPr>
          <w:rFonts w:ascii="Times New Roman" w:hAnsi="Times New Roman"/>
        </w:rPr>
        <w:t>, adjusted for demographic, socioeconomic, behavioral, and health</w:t>
      </w:r>
      <w:r w:rsidR="002B6DCD">
        <w:rPr>
          <w:rFonts w:ascii="Times New Roman" w:hAnsi="Times New Roman"/>
        </w:rPr>
        <w:t>care</w:t>
      </w:r>
      <w:r w:rsidR="005A4E46">
        <w:rPr>
          <w:rFonts w:ascii="Times New Roman" w:hAnsi="Times New Roman"/>
        </w:rPr>
        <w:t xml:space="preserve"> system covariates. </w:t>
      </w:r>
    </w:p>
    <w:p w14:paraId="5EB9985B" w14:textId="5F39BA55" w:rsidR="002D1C8D" w:rsidRPr="00C031C0" w:rsidRDefault="002D1C8D" w:rsidP="00EB1580">
      <w:pPr>
        <w:spacing w:line="360" w:lineRule="auto"/>
        <w:rPr>
          <w:rFonts w:ascii="Times New Roman" w:hAnsi="Times New Roman"/>
        </w:rPr>
      </w:pPr>
      <w:r w:rsidRPr="00C031C0">
        <w:rPr>
          <w:rFonts w:ascii="Times New Roman" w:hAnsi="Times New Roman"/>
        </w:rPr>
        <w:t>Results:</w:t>
      </w:r>
      <w:r w:rsidR="005A4E46" w:rsidRPr="00C031C0">
        <w:rPr>
          <w:rFonts w:ascii="Times New Roman" w:hAnsi="Times New Roman"/>
        </w:rPr>
        <w:tab/>
      </w:r>
      <w:r w:rsidR="00415CC3" w:rsidRPr="00C031C0">
        <w:rPr>
          <w:rFonts w:ascii="Times New Roman" w:hAnsi="Times New Roman"/>
        </w:rPr>
        <w:t xml:space="preserve">Primary care physician density </w:t>
      </w:r>
      <w:r w:rsidR="003763AB" w:rsidRPr="00C031C0">
        <w:rPr>
          <w:rFonts w:ascii="Times New Roman" w:hAnsi="Times New Roman"/>
        </w:rPr>
        <w:t xml:space="preserve">decreased from </w:t>
      </w:r>
      <w:r w:rsidR="0089503A" w:rsidRPr="00C031C0">
        <w:rPr>
          <w:rFonts w:ascii="Times New Roman" w:hAnsi="Times New Roman"/>
        </w:rPr>
        <w:t xml:space="preserve">4.1 per 10,000 population in </w:t>
      </w:r>
      <w:r w:rsidR="003763AB" w:rsidRPr="00C031C0">
        <w:rPr>
          <w:rFonts w:ascii="Times New Roman" w:hAnsi="Times New Roman"/>
        </w:rPr>
        <w:t>2005</w:t>
      </w:r>
      <w:r w:rsidR="00FE48A5" w:rsidRPr="00C031C0">
        <w:rPr>
          <w:rFonts w:ascii="Times New Roman" w:hAnsi="Times New Roman"/>
        </w:rPr>
        <w:t xml:space="preserve"> </w:t>
      </w:r>
      <w:r w:rsidR="003763AB" w:rsidRPr="00C031C0">
        <w:rPr>
          <w:rFonts w:ascii="Times New Roman" w:hAnsi="Times New Roman"/>
        </w:rPr>
        <w:t xml:space="preserve">to </w:t>
      </w:r>
      <w:r w:rsidR="0089503A" w:rsidRPr="00C031C0">
        <w:rPr>
          <w:rFonts w:ascii="Times New Roman" w:hAnsi="Times New Roman"/>
        </w:rPr>
        <w:t>3.6 per 10,000 in 2015</w:t>
      </w:r>
      <w:r w:rsidR="009D5FCE" w:rsidRPr="00C031C0">
        <w:rPr>
          <w:rFonts w:ascii="Times New Roman" w:hAnsi="Times New Roman"/>
        </w:rPr>
        <w:t xml:space="preserve">, with rural </w:t>
      </w:r>
      <w:r w:rsidR="00035FC9" w:rsidRPr="00C031C0">
        <w:rPr>
          <w:rFonts w:ascii="Times New Roman" w:hAnsi="Times New Roman"/>
        </w:rPr>
        <w:t>and lower-income counties experiencing disproportionate losses</w:t>
      </w:r>
      <w:r w:rsidR="0089503A" w:rsidRPr="00C031C0">
        <w:rPr>
          <w:rFonts w:ascii="Times New Roman" w:hAnsi="Times New Roman"/>
        </w:rPr>
        <w:t>.</w:t>
      </w:r>
      <w:r w:rsidR="00627BEA" w:rsidRPr="00C031C0">
        <w:rPr>
          <w:rFonts w:ascii="Times New Roman" w:hAnsi="Times New Roman"/>
        </w:rPr>
        <w:t xml:space="preserve"> </w:t>
      </w:r>
      <w:r w:rsidR="00C94673">
        <w:rPr>
          <w:rFonts w:ascii="Times New Roman" w:hAnsi="Times New Roman"/>
        </w:rPr>
        <w:t>P</w:t>
      </w:r>
      <w:r w:rsidR="00AE66B6" w:rsidRPr="00C031C0">
        <w:rPr>
          <w:rFonts w:ascii="Times New Roman" w:hAnsi="Times New Roman"/>
        </w:rPr>
        <w:t xml:space="preserve">rimary care physician density </w:t>
      </w:r>
      <w:r w:rsidR="00C94673">
        <w:rPr>
          <w:rFonts w:ascii="Times New Roman" w:hAnsi="Times New Roman"/>
        </w:rPr>
        <w:t xml:space="preserve">was </w:t>
      </w:r>
      <w:r w:rsidR="00B66795">
        <w:rPr>
          <w:rFonts w:ascii="Times New Roman" w:hAnsi="Times New Roman"/>
        </w:rPr>
        <w:t xml:space="preserve">not </w:t>
      </w:r>
      <w:r w:rsidR="00C94673">
        <w:rPr>
          <w:rFonts w:ascii="Times New Roman" w:hAnsi="Times New Roman"/>
        </w:rPr>
        <w:t>consistently</w:t>
      </w:r>
      <w:r w:rsidR="00B66795">
        <w:rPr>
          <w:rFonts w:ascii="Times New Roman" w:hAnsi="Times New Roman"/>
        </w:rPr>
        <w:t xml:space="preserve"> related to overall </w:t>
      </w:r>
      <w:r w:rsidR="007D07BF" w:rsidRPr="00C031C0">
        <w:rPr>
          <w:rFonts w:ascii="Times New Roman" w:hAnsi="Times New Roman"/>
        </w:rPr>
        <w:t xml:space="preserve">age-standardized </w:t>
      </w:r>
      <w:r w:rsidR="000C67F3" w:rsidRPr="00C031C0">
        <w:rPr>
          <w:rFonts w:ascii="Times New Roman" w:hAnsi="Times New Roman"/>
        </w:rPr>
        <w:t>life expectancy</w:t>
      </w:r>
      <w:r w:rsidR="00B66795">
        <w:rPr>
          <w:rFonts w:ascii="Times New Roman" w:hAnsi="Times New Roman"/>
        </w:rPr>
        <w:t>,</w:t>
      </w:r>
      <w:r w:rsidR="00F94482" w:rsidRPr="00C031C0">
        <w:rPr>
          <w:rFonts w:ascii="Times New Roman" w:hAnsi="Times New Roman"/>
        </w:rPr>
        <w:t xml:space="preserve"> </w:t>
      </w:r>
      <w:r w:rsidR="00B66795">
        <w:rPr>
          <w:rFonts w:ascii="Times New Roman" w:hAnsi="Times New Roman"/>
        </w:rPr>
        <w:t xml:space="preserve">but </w:t>
      </w:r>
      <w:r w:rsidR="00531C25">
        <w:rPr>
          <w:rFonts w:ascii="Times New Roman" w:hAnsi="Times New Roman"/>
        </w:rPr>
        <w:t>a</w:t>
      </w:r>
      <w:r w:rsidR="00415F62" w:rsidRPr="00C031C0">
        <w:rPr>
          <w:rFonts w:ascii="Times New Roman" w:hAnsi="Times New Roman"/>
        </w:rPr>
        <w:t xml:space="preserve"> one standard deviation increase in</w:t>
      </w:r>
      <w:r w:rsidR="00F94482" w:rsidRPr="00C031C0">
        <w:rPr>
          <w:rFonts w:ascii="Times New Roman" w:hAnsi="Times New Roman"/>
        </w:rPr>
        <w:t xml:space="preserve"> primary care physician density </w:t>
      </w:r>
      <w:r w:rsidR="00415F62" w:rsidRPr="00C031C0">
        <w:rPr>
          <w:rFonts w:ascii="Times New Roman" w:hAnsi="Times New Roman"/>
        </w:rPr>
        <w:t xml:space="preserve">(2.8 physician/10,000 population) </w:t>
      </w:r>
      <w:r w:rsidR="00F94482" w:rsidRPr="00C031C0">
        <w:rPr>
          <w:rFonts w:ascii="Times New Roman" w:hAnsi="Times New Roman"/>
        </w:rPr>
        <w:t xml:space="preserve">was </w:t>
      </w:r>
      <w:r w:rsidR="00AA3412" w:rsidRPr="00C031C0">
        <w:rPr>
          <w:rFonts w:ascii="Times New Roman" w:hAnsi="Times New Roman"/>
        </w:rPr>
        <w:t>associated with</w:t>
      </w:r>
      <w:r w:rsidR="00F94482" w:rsidRPr="00C031C0">
        <w:rPr>
          <w:rFonts w:ascii="Times New Roman" w:hAnsi="Times New Roman"/>
        </w:rPr>
        <w:t xml:space="preserve"> a 5.6 per 1 million </w:t>
      </w:r>
      <w:r w:rsidR="00BB7365" w:rsidRPr="00C031C0">
        <w:rPr>
          <w:rFonts w:ascii="Times New Roman" w:hAnsi="Times New Roman"/>
        </w:rPr>
        <w:t>(0.2%) reduction in cardiovascular mortality (95% CI: 0.3, 10.9</w:t>
      </w:r>
      <w:r w:rsidR="00E4477E">
        <w:rPr>
          <w:rFonts w:ascii="Times New Roman" w:hAnsi="Times New Roman"/>
        </w:rPr>
        <w:t>;</w:t>
      </w:r>
      <w:r w:rsidR="00E4477E" w:rsidRPr="005F5CED">
        <w:rPr>
          <w:rFonts w:ascii="Times New Roman" w:hAnsi="Times New Roman"/>
        </w:rPr>
        <w:t xml:space="preserve"> P = 0.038</w:t>
      </w:r>
      <w:r w:rsidR="00BB7365" w:rsidRPr="00C031C0">
        <w:rPr>
          <w:rFonts w:ascii="Times New Roman" w:hAnsi="Times New Roman"/>
        </w:rPr>
        <w:t>)</w:t>
      </w:r>
      <w:r w:rsidR="00B66795">
        <w:rPr>
          <w:rFonts w:ascii="Times New Roman" w:hAnsi="Times New Roman"/>
        </w:rPr>
        <w:t xml:space="preserve"> and a 1.5 per 1 million (</w:t>
      </w:r>
      <w:r w:rsidR="00462B47">
        <w:rPr>
          <w:rFonts w:ascii="Times New Roman" w:hAnsi="Times New Roman"/>
        </w:rPr>
        <w:t>0.5</w:t>
      </w:r>
      <w:r w:rsidR="00B66795">
        <w:rPr>
          <w:rFonts w:ascii="Times New Roman" w:hAnsi="Times New Roman"/>
        </w:rPr>
        <w:t xml:space="preserve">%) reduction in substance use and injury mortality (95% CI: </w:t>
      </w:r>
      <w:r w:rsidR="00D54682">
        <w:rPr>
          <w:rFonts w:ascii="Times New Roman" w:hAnsi="Times New Roman"/>
        </w:rPr>
        <w:t>0.1, 2.8</w:t>
      </w:r>
      <w:r w:rsidR="00E4477E">
        <w:rPr>
          <w:rFonts w:ascii="Times New Roman" w:hAnsi="Times New Roman"/>
        </w:rPr>
        <w:t xml:space="preserve">; </w:t>
      </w:r>
      <w:r w:rsidR="00E4477E" w:rsidRPr="005F5CED">
        <w:rPr>
          <w:rFonts w:ascii="Times New Roman" w:hAnsi="Times New Roman"/>
        </w:rPr>
        <w:t>P = 0.035</w:t>
      </w:r>
      <w:r w:rsidR="00B66795">
        <w:rPr>
          <w:rFonts w:ascii="Times New Roman" w:hAnsi="Times New Roman"/>
        </w:rPr>
        <w:t>)</w:t>
      </w:r>
      <w:r w:rsidR="00E94842">
        <w:rPr>
          <w:rFonts w:ascii="Times New Roman" w:hAnsi="Times New Roman"/>
        </w:rPr>
        <w:t>, net of covariates</w:t>
      </w:r>
      <w:r w:rsidR="00415F62" w:rsidRPr="00C031C0">
        <w:rPr>
          <w:rFonts w:ascii="Times New Roman" w:hAnsi="Times New Roman"/>
        </w:rPr>
        <w:t>.</w:t>
      </w:r>
    </w:p>
    <w:p w14:paraId="1116CF5A" w14:textId="0C365179" w:rsidR="002D1C8D" w:rsidRDefault="002D1C8D" w:rsidP="00EB1580">
      <w:pPr>
        <w:spacing w:line="360" w:lineRule="auto"/>
        <w:rPr>
          <w:rFonts w:ascii="Times New Roman" w:hAnsi="Times New Roman"/>
        </w:rPr>
      </w:pPr>
      <w:r w:rsidRPr="00C031C0">
        <w:rPr>
          <w:rFonts w:ascii="Times New Roman" w:hAnsi="Times New Roman"/>
        </w:rPr>
        <w:t>Conclusions:</w:t>
      </w:r>
      <w:r w:rsidR="002E1D25" w:rsidRPr="00C031C0">
        <w:rPr>
          <w:rFonts w:ascii="Times New Roman" w:hAnsi="Times New Roman"/>
        </w:rPr>
        <w:tab/>
      </w:r>
      <w:r w:rsidR="008978A9">
        <w:rPr>
          <w:rFonts w:ascii="Times New Roman" w:hAnsi="Times New Roman"/>
        </w:rPr>
        <w:t>P</w:t>
      </w:r>
      <w:r w:rsidR="008769DD" w:rsidRPr="00C031C0">
        <w:rPr>
          <w:rFonts w:ascii="Times New Roman" w:hAnsi="Times New Roman"/>
        </w:rPr>
        <w:t xml:space="preserve">rimary care physician density </w:t>
      </w:r>
      <w:r w:rsidR="008978A9">
        <w:rPr>
          <w:rFonts w:ascii="Times New Roman" w:hAnsi="Times New Roman"/>
        </w:rPr>
        <w:t xml:space="preserve">has decreased </w:t>
      </w:r>
      <w:r w:rsidR="00B56891">
        <w:rPr>
          <w:rFonts w:ascii="Times New Roman" w:hAnsi="Times New Roman"/>
        </w:rPr>
        <w:t>in vulnerable areas, and while not</w:t>
      </w:r>
      <w:r w:rsidR="00F94482" w:rsidRPr="00C031C0">
        <w:rPr>
          <w:rFonts w:ascii="Times New Roman" w:hAnsi="Times New Roman"/>
        </w:rPr>
        <w:t xml:space="preserve"> consistently </w:t>
      </w:r>
      <w:r w:rsidR="00AE66B6" w:rsidRPr="00C031C0">
        <w:rPr>
          <w:rFonts w:ascii="Times New Roman" w:hAnsi="Times New Roman"/>
        </w:rPr>
        <w:t xml:space="preserve">related to </w:t>
      </w:r>
      <w:r w:rsidR="00F94482" w:rsidRPr="00C031C0">
        <w:rPr>
          <w:rFonts w:ascii="Times New Roman" w:hAnsi="Times New Roman"/>
        </w:rPr>
        <w:t>overall life expectancy</w:t>
      </w:r>
      <w:r w:rsidR="00356AFF">
        <w:rPr>
          <w:rFonts w:ascii="Times New Roman" w:hAnsi="Times New Roman"/>
        </w:rPr>
        <w:t xml:space="preserve">, </w:t>
      </w:r>
      <w:r w:rsidR="00462B47">
        <w:rPr>
          <w:rFonts w:ascii="Times New Roman" w:hAnsi="Times New Roman"/>
        </w:rPr>
        <w:t xml:space="preserve">was </w:t>
      </w:r>
      <w:r w:rsidR="00356AFF">
        <w:rPr>
          <w:rFonts w:ascii="Times New Roman" w:hAnsi="Times New Roman"/>
        </w:rPr>
        <w:t>related to cardiovascular and substance use/injury mortality</w:t>
      </w:r>
      <w:r w:rsidR="006D6982" w:rsidRPr="00C031C0">
        <w:rPr>
          <w:rFonts w:ascii="Times New Roman" w:hAnsi="Times New Roman"/>
        </w:rPr>
        <w:t>.</w:t>
      </w:r>
    </w:p>
    <w:p w14:paraId="331D5F93" w14:textId="77777777" w:rsidR="00EB1580" w:rsidRPr="002D1C8D" w:rsidRDefault="00EB1580" w:rsidP="00EB1580">
      <w:pPr>
        <w:spacing w:line="360" w:lineRule="auto"/>
        <w:rPr>
          <w:rFonts w:ascii="Times New Roman" w:hAnsi="Times New Roman"/>
        </w:rPr>
      </w:pPr>
      <w:r w:rsidRPr="004C2EB7">
        <w:rPr>
          <w:rFonts w:ascii="Times New Roman" w:hAnsi="Times New Roman"/>
        </w:rPr>
        <w:br w:type="column"/>
      </w:r>
      <w:r w:rsidRPr="004C2EB7">
        <w:rPr>
          <w:rFonts w:ascii="Times New Roman" w:hAnsi="Times New Roman"/>
          <w:b/>
        </w:rPr>
        <w:lastRenderedPageBreak/>
        <w:t>Introduction</w:t>
      </w:r>
    </w:p>
    <w:p w14:paraId="14E017B9" w14:textId="607D3F06" w:rsidR="00592301" w:rsidRDefault="00592301" w:rsidP="00592301">
      <w:pPr>
        <w:spacing w:line="360" w:lineRule="auto"/>
        <w:rPr>
          <w:rFonts w:ascii="Times New Roman" w:hAnsi="Times New Roman"/>
        </w:rPr>
      </w:pPr>
      <w:r>
        <w:rPr>
          <w:rFonts w:ascii="Times New Roman" w:hAnsi="Times New Roman"/>
        </w:rPr>
        <w:tab/>
        <w:t xml:space="preserve">Whether and to what degree primary care </w:t>
      </w:r>
      <w:r w:rsidR="00576524">
        <w:rPr>
          <w:rFonts w:ascii="Times New Roman" w:hAnsi="Times New Roman"/>
        </w:rPr>
        <w:t>physicians can influence</w:t>
      </w:r>
      <w:r>
        <w:rPr>
          <w:rFonts w:ascii="Times New Roman" w:hAnsi="Times New Roman"/>
        </w:rPr>
        <w:t xml:space="preserve"> population-wide health outcomes remains heavily debated. </w:t>
      </w:r>
      <w:r w:rsidR="00BB2653">
        <w:rPr>
          <w:rFonts w:ascii="Times New Roman" w:hAnsi="Times New Roman"/>
        </w:rPr>
        <w:t xml:space="preserve">Traditionally, assessments from the field of social epidemiology suggested that </w:t>
      </w:r>
      <w:r w:rsidR="00D85C32">
        <w:rPr>
          <w:rFonts w:ascii="Times New Roman" w:hAnsi="Times New Roman"/>
        </w:rPr>
        <w:t>there is</w:t>
      </w:r>
      <w:r w:rsidR="00B31958">
        <w:rPr>
          <w:rFonts w:ascii="Times New Roman" w:hAnsi="Times New Roman"/>
        </w:rPr>
        <w:t xml:space="preserve"> little or no measurable influence of medical care</w:t>
      </w:r>
      <w:r w:rsidR="00D85C32">
        <w:rPr>
          <w:rFonts w:ascii="Times New Roman" w:hAnsi="Times New Roman"/>
        </w:rPr>
        <w:t>, including preventive and curative services delivered through primary care,</w:t>
      </w:r>
      <w:r w:rsidR="00B31958">
        <w:rPr>
          <w:rFonts w:ascii="Times New Roman" w:hAnsi="Times New Roman"/>
        </w:rPr>
        <w:t xml:space="preserve"> on population health metrics such as life expectancy</w:t>
      </w:r>
      <w:r w:rsidR="00D85C32">
        <w:rPr>
          <w:rFonts w:ascii="Times New Roman" w:hAnsi="Times New Roman"/>
        </w:rPr>
        <w:t>.</w:t>
      </w:r>
      <w:r w:rsidR="00D85C32">
        <w:rPr>
          <w:rFonts w:ascii="Times New Roman" w:hAnsi="Times New Roman"/>
        </w:rPr>
        <w:fldChar w:fldCharType="begin" w:fldLock="1"/>
      </w:r>
      <w:r w:rsidR="00D85C32">
        <w:rPr>
          <w:rFonts w:ascii="Times New Roman" w:hAnsi="Times New Roman"/>
        </w:rPr>
        <w:instrText>ADDIN CSL_CITATION { "citationItems" : [ { "id" : "ITEM-1", "itemData" : { "DOI" : "10.1093/ije/30.6.1260", "ISSN" : "1464-3685", "author" : [ { "dropping-particle" : "", "family" : "Bunker", "given" : "John P", "non-dropping-particle" : "", "parse-names" : false, "suffix" : "" } ], "container-title" : "International Journal of Epidemiology", "id" : "ITEM-1", "issue" : "6", "issued" : { "date-parts" : [ [ "2001", "12", "1" ] ] }, "page" : "1260-1263", "publisher" : "Oxford University Press", "title" : "The role of medical care in contributing to health improvements within societies", "type" : "article-journal", "volume" : "30" }, "uris" : [ "http://www.mendeley.com/documents/?uuid=6cd4c0da-56e7-392f-b78d-721e7af7f340" ] } ], "mendeley" : { "formattedCitation" : "&lt;sup&gt;1&lt;/sup&gt;", "plainTextFormattedCitation" : "1", "previouslyFormattedCitation" : "&lt;sup&gt;1&lt;/sup&gt;" }, "properties" : {  }, "schema" : "https://github.com/citation-style-language/schema/raw/master/csl-citation.json" }</w:instrText>
      </w:r>
      <w:r w:rsidR="00D85C32">
        <w:rPr>
          <w:rFonts w:ascii="Times New Roman" w:hAnsi="Times New Roman"/>
        </w:rPr>
        <w:fldChar w:fldCharType="separate"/>
      </w:r>
      <w:r w:rsidR="00D85C32" w:rsidRPr="00D85C32">
        <w:rPr>
          <w:rFonts w:ascii="Times New Roman" w:hAnsi="Times New Roman"/>
          <w:noProof/>
          <w:vertAlign w:val="superscript"/>
        </w:rPr>
        <w:t>1</w:t>
      </w:r>
      <w:r w:rsidR="00D85C32">
        <w:rPr>
          <w:rFonts w:ascii="Times New Roman" w:hAnsi="Times New Roman"/>
        </w:rPr>
        <w:fldChar w:fldCharType="end"/>
      </w:r>
      <w:r w:rsidR="00B31958">
        <w:rPr>
          <w:rFonts w:ascii="Times New Roman" w:hAnsi="Times New Roman"/>
        </w:rPr>
        <w:t xml:space="preserve"> </w:t>
      </w:r>
      <w:r w:rsidR="00D85C32">
        <w:rPr>
          <w:rFonts w:ascii="Times New Roman" w:hAnsi="Times New Roman"/>
        </w:rPr>
        <w:t xml:space="preserve">Thomas </w:t>
      </w:r>
      <w:proofErr w:type="spellStart"/>
      <w:r w:rsidR="00D85C32">
        <w:rPr>
          <w:rFonts w:ascii="Times New Roman" w:hAnsi="Times New Roman"/>
        </w:rPr>
        <w:t>McKweon’s</w:t>
      </w:r>
      <w:proofErr w:type="spellEnd"/>
      <w:r w:rsidR="00D85C32">
        <w:rPr>
          <w:rFonts w:ascii="Times New Roman" w:hAnsi="Times New Roman"/>
        </w:rPr>
        <w:t xml:space="preserve"> </w:t>
      </w:r>
      <w:r w:rsidR="00586EC7">
        <w:rPr>
          <w:rFonts w:ascii="Times New Roman" w:hAnsi="Times New Roman"/>
        </w:rPr>
        <w:t>1976</w:t>
      </w:r>
      <w:r w:rsidR="00D85C32">
        <w:rPr>
          <w:rFonts w:ascii="Times New Roman" w:hAnsi="Times New Roman"/>
        </w:rPr>
        <w:t xml:space="preserve"> assessment </w:t>
      </w:r>
      <w:r w:rsidR="00586EC7">
        <w:rPr>
          <w:rFonts w:ascii="Times New Roman" w:hAnsi="Times New Roman"/>
        </w:rPr>
        <w:t xml:space="preserve">of death in England and Wales </w:t>
      </w:r>
      <w:r w:rsidR="00D85C32">
        <w:rPr>
          <w:rFonts w:ascii="Times New Roman" w:hAnsi="Times New Roman"/>
        </w:rPr>
        <w:t xml:space="preserve">suggested that while life expectancy had increased by 23 years over </w:t>
      </w:r>
      <w:r w:rsidR="00496FCA">
        <w:rPr>
          <w:rFonts w:ascii="Times New Roman" w:hAnsi="Times New Roman"/>
        </w:rPr>
        <w:t>the prior</w:t>
      </w:r>
      <w:r w:rsidR="00D85C32">
        <w:rPr>
          <w:rFonts w:ascii="Times New Roman" w:hAnsi="Times New Roman"/>
        </w:rPr>
        <w:t xml:space="preserve"> half century, little of the advance could be attributed to </w:t>
      </w:r>
      <w:r w:rsidR="00EE240C">
        <w:rPr>
          <w:rFonts w:ascii="Times New Roman" w:hAnsi="Times New Roman"/>
        </w:rPr>
        <w:t>medical care;</w:t>
      </w:r>
      <w:r w:rsidR="00C62AE7">
        <w:rPr>
          <w:rFonts w:ascii="Times New Roman" w:hAnsi="Times New Roman"/>
        </w:rPr>
        <w:fldChar w:fldCharType="begin" w:fldLock="1"/>
      </w:r>
      <w:r w:rsidR="00C62AE7">
        <w:rPr>
          <w:rFonts w:ascii="Times New Roman" w:hAnsi="Times New Roman"/>
        </w:rPr>
        <w:instrText>ADDIN CSL_CITATION { "citationItems" : [ { "id" : "ITEM-1", "itemData" : { "author" : [ { "dropping-particle" : "", "family" : "McKeown", "given" : "T", "non-dropping-particle" : "", "parse-names" : false, "suffix" : "" } ], "id" : "ITEM-1", "issued" : { "date-parts" : [ [ "2014" ] ] }, "title" : "The role of medicine: dream, mirage, or nemesis?", "type" : "book" }, "uris" : [ "http://www.mendeley.com/documents/?uuid=f69422e4-5b61-376d-9df4-eab5974b929a" ] } ], "mendeley" : { "formattedCitation" : "&lt;sup&gt;2&lt;/sup&gt;", "plainTextFormattedCitation" : "2", "previouslyFormattedCitation" : "&lt;sup&gt;2&lt;/sup&gt;" }, "properties" : {  }, "schema" : "https://github.com/citation-style-language/schema/raw/master/csl-citation.json" }</w:instrText>
      </w:r>
      <w:r w:rsidR="00C62AE7">
        <w:rPr>
          <w:rFonts w:ascii="Times New Roman" w:hAnsi="Times New Roman"/>
        </w:rPr>
        <w:fldChar w:fldCharType="separate"/>
      </w:r>
      <w:r w:rsidR="00C62AE7" w:rsidRPr="00C62AE7">
        <w:rPr>
          <w:rFonts w:ascii="Times New Roman" w:hAnsi="Times New Roman"/>
          <w:noProof/>
          <w:vertAlign w:val="superscript"/>
        </w:rPr>
        <w:t>2</w:t>
      </w:r>
      <w:r w:rsidR="00C62AE7">
        <w:rPr>
          <w:rFonts w:ascii="Times New Roman" w:hAnsi="Times New Roman"/>
        </w:rPr>
        <w:fldChar w:fldCharType="end"/>
      </w:r>
      <w:r w:rsidR="00EE240C">
        <w:rPr>
          <w:rFonts w:ascii="Times New Roman" w:hAnsi="Times New Roman"/>
        </w:rPr>
        <w:t xml:space="preserve"> the </w:t>
      </w:r>
      <w:r w:rsidR="00FD67C9">
        <w:rPr>
          <w:rFonts w:ascii="Times New Roman" w:hAnsi="Times New Roman"/>
        </w:rPr>
        <w:t>previous</w:t>
      </w:r>
      <w:r w:rsidR="00EE240C">
        <w:rPr>
          <w:rFonts w:ascii="Times New Roman" w:hAnsi="Times New Roman"/>
        </w:rPr>
        <w:t xml:space="preserve"> year, Ivan </w:t>
      </w:r>
      <w:proofErr w:type="spellStart"/>
      <w:r w:rsidR="00EE240C">
        <w:rPr>
          <w:rFonts w:ascii="Times New Roman" w:hAnsi="Times New Roman"/>
        </w:rPr>
        <w:t>Illich</w:t>
      </w:r>
      <w:proofErr w:type="spellEnd"/>
      <w:r w:rsidR="00EE240C">
        <w:rPr>
          <w:rFonts w:ascii="Times New Roman" w:hAnsi="Times New Roman"/>
        </w:rPr>
        <w:t xml:space="preserve"> claimed more radically that medical care did more harm than good to population health.</w:t>
      </w:r>
      <w:r w:rsidR="00C62AE7">
        <w:rPr>
          <w:rFonts w:ascii="Times New Roman" w:hAnsi="Times New Roman"/>
        </w:rPr>
        <w:fldChar w:fldCharType="begin" w:fldLock="1"/>
      </w:r>
      <w:r w:rsidR="00C62AE7">
        <w:rPr>
          <w:rFonts w:ascii="Times New Roman" w:hAnsi="Times New Roman"/>
        </w:rPr>
        <w:instrText>ADDIN CSL_CITATION { "citationItems" : [ { "id" : "ITEM-1", "itemData" : { "ISBN" : "0394712455", "author" : [ { "dropping-particle" : "", "family" : "Illich", "given" : "Ivan", "non-dropping-particle" : "", "parse-names" : false, "suffix" : "" } ], "id" : "ITEM-1", "issued" : { "date-parts" : [ [ "1975" ] ] }, "number-of-pages" : "294", "publisher" : "Pantheon Books", "publisher-place" : "London", "title" : "Medical nemesis : the expropriation of health", "type" : "book" }, "uris" : [ "http://www.mendeley.com/documents/?uuid=cc2d1cb5-8ce3-3e36-82c4-e1e2d8b3200e" ] } ], "mendeley" : { "formattedCitation" : "&lt;sup&gt;3&lt;/sup&gt;", "plainTextFormattedCitation" : "3", "previouslyFormattedCitation" : "&lt;sup&gt;3&lt;/sup&gt;" }, "properties" : {  }, "schema" : "https://github.com/citation-style-language/schema/raw/master/csl-citation.json" }</w:instrText>
      </w:r>
      <w:r w:rsidR="00C62AE7">
        <w:rPr>
          <w:rFonts w:ascii="Times New Roman" w:hAnsi="Times New Roman"/>
        </w:rPr>
        <w:fldChar w:fldCharType="separate"/>
      </w:r>
      <w:r w:rsidR="00C62AE7" w:rsidRPr="00C62AE7">
        <w:rPr>
          <w:rFonts w:ascii="Times New Roman" w:hAnsi="Times New Roman"/>
          <w:noProof/>
          <w:vertAlign w:val="superscript"/>
        </w:rPr>
        <w:t>3</w:t>
      </w:r>
      <w:r w:rsidR="00C62AE7">
        <w:rPr>
          <w:rFonts w:ascii="Times New Roman" w:hAnsi="Times New Roman"/>
        </w:rPr>
        <w:fldChar w:fldCharType="end"/>
      </w:r>
      <w:r w:rsidR="00EE240C">
        <w:rPr>
          <w:rFonts w:ascii="Times New Roman" w:hAnsi="Times New Roman"/>
        </w:rPr>
        <w:t xml:space="preserve"> </w:t>
      </w:r>
      <w:r w:rsidR="00F32D85">
        <w:rPr>
          <w:rFonts w:ascii="Times New Roman" w:hAnsi="Times New Roman"/>
        </w:rPr>
        <w:t xml:space="preserve">In the </w:t>
      </w:r>
      <w:r w:rsidR="00EE25B8">
        <w:rPr>
          <w:rFonts w:ascii="Times New Roman" w:hAnsi="Times New Roman"/>
        </w:rPr>
        <w:t xml:space="preserve">three </w:t>
      </w:r>
      <w:r w:rsidR="00F32D85">
        <w:rPr>
          <w:rFonts w:ascii="Times New Roman" w:hAnsi="Times New Roman"/>
        </w:rPr>
        <w:t>decades that followed, improvements in life expectancy</w:t>
      </w:r>
      <w:r w:rsidR="00941909">
        <w:rPr>
          <w:rFonts w:ascii="Times New Roman" w:hAnsi="Times New Roman"/>
        </w:rPr>
        <w:t xml:space="preserve"> were more consistently</w:t>
      </w:r>
      <w:r w:rsidR="00F32D85">
        <w:rPr>
          <w:rFonts w:ascii="Times New Roman" w:hAnsi="Times New Roman"/>
        </w:rPr>
        <w:t xml:space="preserve"> attributed to advances in biomedicine</w:t>
      </w:r>
      <w:r w:rsidR="00011F21">
        <w:rPr>
          <w:rFonts w:ascii="Times New Roman" w:hAnsi="Times New Roman"/>
        </w:rPr>
        <w:t xml:space="preserve"> including the treatment of hypertension</w:t>
      </w:r>
      <w:r w:rsidR="009855AA">
        <w:rPr>
          <w:rFonts w:ascii="Times New Roman" w:hAnsi="Times New Roman"/>
        </w:rPr>
        <w:t>,</w:t>
      </w:r>
      <w:r w:rsidR="00C62AE7">
        <w:rPr>
          <w:rFonts w:ascii="Times New Roman" w:hAnsi="Times New Roman"/>
        </w:rPr>
        <w:fldChar w:fldCharType="begin" w:fldLock="1"/>
      </w:r>
      <w:r w:rsidR="00AF4F5D">
        <w:rPr>
          <w:rFonts w:ascii="Times New Roman" w:hAnsi="Times New Roman"/>
        </w:rPr>
        <w:instrText>ADDIN CSL_CITATION { "citationItems" : [ { "id" : "ITEM-1", "itemData" : { "ISSN" : "0035-8819", "PMID" : "7595883", "abstract" : "The extraordinary increase in life-expectancy that occurred early in this century has been attributed largely to non-medical factors. Life-expectancy has continued to rise, and medical care can now be shown to make substantial contributions. Three of the seven years' increase in life expectancy since 1950 can be attributed to medical care. Medical care is also estimated to provide, on average, five years of partial or complete relief from the poor quality of life associated with chronic disease. The association of social factors with health is well-known, but except for occupation, it is not known how they might act or whether they are proxies for some other yet to be identified factor.", "author" : [ { "dropping-particle" : "", "family" : "Bunker", "given" : "J P", "non-dropping-particle" : "", "parse-names" : false, "suffix" : "" } ], "container-title" : "Journal of the Royal College of Physicians of London", "id" : "ITEM-1", "issue" : "2", "issued" : { "date-parts" : [ [ "1995" ] ] }, "page" : "105-12", "title" : "Medicine matters after all.", "type" : "article-journal", "volume" : "29" }, "uris" : [ "http://www.mendeley.com/documents/?uuid=e6420828-2ce4-303e-bd3b-f8f8b2cec8f4" ] }, { "id" : "ITEM-2", "itemData" : { "author" : [ { "dropping-particle" : "", "family" : "Mackenbach", "given" : "J", "non-dropping-particle" : "", "parse-names" : false, "suffix" : "" } ], "container-title" : "J Clin Epidemiol", "id" : "ITEM-2", "issue" : "11", "issued" : { "date-parts" : [ [ "1996" ] ] }, "page" : "1207-1213", "title" : "The contribution of medical care to mortality decline: McKeown revisited", "type" : "article-journal", "volume" : "49" }, "uris" : [ "http://www.mendeley.com/documents/?uuid=637e2d53-dfe7-35b8-8d9c-032dc4376bb3" ] } ], "mendeley" : { "formattedCitation" : "&lt;sup&gt;4,5&lt;/sup&gt;", "plainTextFormattedCitation" : "4,5", "previouslyFormattedCitation" : "&lt;sup&gt;4,5&lt;/sup&gt;" }, "properties" : {  }, "schema" : "https://github.com/citation-style-language/schema/raw/master/csl-citation.json" }</w:instrText>
      </w:r>
      <w:r w:rsidR="00C62AE7">
        <w:rPr>
          <w:rFonts w:ascii="Times New Roman" w:hAnsi="Times New Roman"/>
        </w:rPr>
        <w:fldChar w:fldCharType="separate"/>
      </w:r>
      <w:r w:rsidR="00AF4F5D" w:rsidRPr="00AF4F5D">
        <w:rPr>
          <w:rFonts w:ascii="Times New Roman" w:hAnsi="Times New Roman"/>
          <w:noProof/>
          <w:vertAlign w:val="superscript"/>
        </w:rPr>
        <w:t>4,5</w:t>
      </w:r>
      <w:r w:rsidR="00C62AE7">
        <w:rPr>
          <w:rFonts w:ascii="Times New Roman" w:hAnsi="Times New Roman"/>
        </w:rPr>
        <w:fldChar w:fldCharType="end"/>
      </w:r>
      <w:r w:rsidR="009855AA">
        <w:rPr>
          <w:rFonts w:ascii="Times New Roman" w:hAnsi="Times New Roman"/>
        </w:rPr>
        <w:t xml:space="preserve"> but contradictions </w:t>
      </w:r>
      <w:r w:rsidR="002137E7">
        <w:rPr>
          <w:rFonts w:ascii="Times New Roman" w:hAnsi="Times New Roman"/>
        </w:rPr>
        <w:t xml:space="preserve">also </w:t>
      </w:r>
      <w:r w:rsidR="00941909">
        <w:rPr>
          <w:rFonts w:ascii="Times New Roman" w:hAnsi="Times New Roman"/>
        </w:rPr>
        <w:t>appeared</w:t>
      </w:r>
      <w:r w:rsidR="009855AA">
        <w:rPr>
          <w:rFonts w:ascii="Times New Roman" w:hAnsi="Times New Roman"/>
        </w:rPr>
        <w:t>, such as the increase in mortality rates from diseases amenable to medicine in areas with the most medical care resources.</w:t>
      </w:r>
      <w:r w:rsidR="005550C5">
        <w:rPr>
          <w:rFonts w:ascii="Times New Roman" w:hAnsi="Times New Roman"/>
        </w:rPr>
        <w:fldChar w:fldCharType="begin" w:fldLock="1"/>
      </w:r>
      <w:r w:rsidR="00AF4F5D">
        <w:rPr>
          <w:rFonts w:ascii="Times New Roman" w:hAnsi="Times New Roman"/>
        </w:rPr>
        <w:instrText>ADDIN CSL_CITATION { "citationItems" : [ { "id" : "ITEM-1", "itemData" : { "author" : [ { "dropping-particle" : "", "family" : "Carr-Hill", "given" : "RA", "non-dropping-particle" : "", "parse-names" : false, "suffix" : "" }, { "dropping-particle" : "", "family" : "Hardman", "given" : "GF", "non-dropping-particle" : "", "parse-names" : false, "suffix" : "" }, { "dropping-particle" : "", "family" : "Lancet", "given" : "IT Russell - The", "non-dropping-particle" : "", "parse-names" : false, "suffix" : "" }, { "dropping-particle" : "", "family" : "1987", "given" : "undefined", "non-dropping-particle" : "", "parse-names" : false, "suffix" : "" } ], "container-title" : "Elsevier", "id" : "ITEM-1", "issued" : { "date-parts" : [ [ "0" ] ] }, "title" : "Variations in avoidable mortality and variations in health care resources", "type" : "article-journal" }, "uris" : [ "http://www.mendeley.com/documents/?uuid=73b60ff0-1b19-3da0-92ba-832d526e03d6" ] } ], "mendeley" : { "formattedCitation" : "&lt;sup&gt;6&lt;/sup&gt;", "plainTextFormattedCitation" : "6", "previouslyFormattedCitation" : "&lt;sup&gt;6&lt;/sup&gt;" }, "properties" : {  }, "schema" : "https://github.com/citation-style-language/schema/raw/master/csl-citation.json" }</w:instrText>
      </w:r>
      <w:r w:rsidR="005550C5">
        <w:rPr>
          <w:rFonts w:ascii="Times New Roman" w:hAnsi="Times New Roman"/>
        </w:rPr>
        <w:fldChar w:fldCharType="separate"/>
      </w:r>
      <w:r w:rsidR="00AF4F5D" w:rsidRPr="00AF4F5D">
        <w:rPr>
          <w:rFonts w:ascii="Times New Roman" w:hAnsi="Times New Roman"/>
          <w:noProof/>
          <w:vertAlign w:val="superscript"/>
        </w:rPr>
        <w:t>6</w:t>
      </w:r>
      <w:r w:rsidR="005550C5">
        <w:rPr>
          <w:rFonts w:ascii="Times New Roman" w:hAnsi="Times New Roman"/>
        </w:rPr>
        <w:fldChar w:fldCharType="end"/>
      </w:r>
      <w:r w:rsidR="00F32D85">
        <w:rPr>
          <w:rFonts w:ascii="Times New Roman" w:hAnsi="Times New Roman"/>
        </w:rPr>
        <w:t xml:space="preserve"> </w:t>
      </w:r>
    </w:p>
    <w:p w14:paraId="55FEA8EB" w14:textId="5C59AAE8" w:rsidR="00082298" w:rsidRDefault="005550C5" w:rsidP="00592301">
      <w:pPr>
        <w:spacing w:line="360" w:lineRule="auto"/>
        <w:rPr>
          <w:rFonts w:ascii="Times New Roman" w:hAnsi="Times New Roman"/>
        </w:rPr>
      </w:pPr>
      <w:r>
        <w:rPr>
          <w:rFonts w:ascii="Times New Roman" w:hAnsi="Times New Roman"/>
        </w:rPr>
        <w:tab/>
      </w:r>
      <w:r w:rsidR="00941909">
        <w:rPr>
          <w:rFonts w:ascii="Times New Roman" w:hAnsi="Times New Roman"/>
        </w:rPr>
        <w:t xml:space="preserve">While </w:t>
      </w:r>
      <w:r w:rsidR="00403E9E">
        <w:rPr>
          <w:rFonts w:ascii="Times New Roman" w:hAnsi="Times New Roman"/>
        </w:rPr>
        <w:t>many</w:t>
      </w:r>
      <w:r w:rsidR="00941909">
        <w:rPr>
          <w:rFonts w:ascii="Times New Roman" w:hAnsi="Times New Roman"/>
        </w:rPr>
        <w:t xml:space="preserve"> debates concerning medical care and population health </w:t>
      </w:r>
      <w:r w:rsidR="00411B5D">
        <w:rPr>
          <w:rFonts w:ascii="Times New Roman" w:hAnsi="Times New Roman"/>
        </w:rPr>
        <w:t>focused on analysis of</w:t>
      </w:r>
      <w:r w:rsidR="00941909">
        <w:rPr>
          <w:rFonts w:ascii="Times New Roman" w:hAnsi="Times New Roman"/>
        </w:rPr>
        <w:t xml:space="preserve"> rich data from the United Kingdom, within</w:t>
      </w:r>
      <w:r>
        <w:rPr>
          <w:rFonts w:ascii="Times New Roman" w:hAnsi="Times New Roman"/>
        </w:rPr>
        <w:t xml:space="preserve"> the United States</w:t>
      </w:r>
      <w:r w:rsidR="00403E9E">
        <w:rPr>
          <w:rFonts w:ascii="Times New Roman" w:hAnsi="Times New Roman"/>
        </w:rPr>
        <w:t xml:space="preserve">, </w:t>
      </w:r>
      <w:r w:rsidR="00AE6615">
        <w:rPr>
          <w:rFonts w:ascii="Times New Roman" w:hAnsi="Times New Roman"/>
        </w:rPr>
        <w:t>debates during the early 21</w:t>
      </w:r>
      <w:r w:rsidR="00AE6615" w:rsidRPr="00AE6615">
        <w:rPr>
          <w:rFonts w:ascii="Times New Roman" w:hAnsi="Times New Roman"/>
          <w:vertAlign w:val="superscript"/>
        </w:rPr>
        <w:t>st</w:t>
      </w:r>
      <w:r w:rsidR="00AE6615">
        <w:rPr>
          <w:rFonts w:ascii="Times New Roman" w:hAnsi="Times New Roman"/>
        </w:rPr>
        <w:t xml:space="preserve"> century</w:t>
      </w:r>
      <w:r w:rsidR="00981433">
        <w:rPr>
          <w:rFonts w:ascii="Times New Roman" w:hAnsi="Times New Roman"/>
        </w:rPr>
        <w:t xml:space="preserve"> </w:t>
      </w:r>
      <w:r w:rsidR="00403E9E">
        <w:rPr>
          <w:rFonts w:ascii="Times New Roman" w:hAnsi="Times New Roman"/>
        </w:rPr>
        <w:t xml:space="preserve">often </w:t>
      </w:r>
      <w:r w:rsidR="00981433">
        <w:rPr>
          <w:rFonts w:ascii="Times New Roman" w:hAnsi="Times New Roman"/>
        </w:rPr>
        <w:t xml:space="preserve">compared </w:t>
      </w:r>
      <w:r w:rsidR="009863FC">
        <w:rPr>
          <w:rFonts w:ascii="Times New Roman" w:hAnsi="Times New Roman"/>
        </w:rPr>
        <w:t xml:space="preserve">aggregate </w:t>
      </w:r>
      <w:r w:rsidR="00981433">
        <w:rPr>
          <w:rFonts w:ascii="Times New Roman" w:hAnsi="Times New Roman"/>
        </w:rPr>
        <w:t xml:space="preserve">U.S. </w:t>
      </w:r>
      <w:r w:rsidR="00403E9E">
        <w:rPr>
          <w:rFonts w:ascii="Times New Roman" w:hAnsi="Times New Roman"/>
        </w:rPr>
        <w:t>medical care</w:t>
      </w:r>
      <w:r w:rsidR="00625EA4">
        <w:rPr>
          <w:rFonts w:ascii="Times New Roman" w:hAnsi="Times New Roman"/>
        </w:rPr>
        <w:t xml:space="preserve"> </w:t>
      </w:r>
      <w:r w:rsidR="009863FC">
        <w:rPr>
          <w:rFonts w:ascii="Times New Roman" w:hAnsi="Times New Roman"/>
        </w:rPr>
        <w:t xml:space="preserve">characteristics </w:t>
      </w:r>
      <w:r w:rsidR="00403E9E">
        <w:rPr>
          <w:rFonts w:ascii="Times New Roman" w:hAnsi="Times New Roman"/>
        </w:rPr>
        <w:t xml:space="preserve">and population health </w:t>
      </w:r>
      <w:r w:rsidR="001B5E6C">
        <w:rPr>
          <w:rFonts w:ascii="Times New Roman" w:hAnsi="Times New Roman"/>
        </w:rPr>
        <w:t>statistics</w:t>
      </w:r>
      <w:r w:rsidR="00981433">
        <w:rPr>
          <w:rFonts w:ascii="Times New Roman" w:hAnsi="Times New Roman"/>
        </w:rPr>
        <w:t xml:space="preserve"> to </w:t>
      </w:r>
      <w:r w:rsidR="008A07ED">
        <w:rPr>
          <w:rFonts w:ascii="Times New Roman" w:hAnsi="Times New Roman"/>
        </w:rPr>
        <w:t xml:space="preserve">that of </w:t>
      </w:r>
      <w:r w:rsidR="0087679B">
        <w:rPr>
          <w:rFonts w:ascii="Times New Roman" w:hAnsi="Times New Roman"/>
        </w:rPr>
        <w:t>international</w:t>
      </w:r>
      <w:r w:rsidR="00981433">
        <w:rPr>
          <w:rFonts w:ascii="Times New Roman" w:hAnsi="Times New Roman"/>
        </w:rPr>
        <w:t xml:space="preserve"> peers</w:t>
      </w:r>
      <w:r w:rsidR="00AF4F5D">
        <w:rPr>
          <w:rFonts w:ascii="Times New Roman" w:hAnsi="Times New Roman"/>
        </w:rPr>
        <w:t xml:space="preserve">. </w:t>
      </w:r>
      <w:proofErr w:type="spellStart"/>
      <w:r w:rsidR="00496E66">
        <w:rPr>
          <w:rFonts w:ascii="Times New Roman" w:hAnsi="Times New Roman"/>
        </w:rPr>
        <w:t>Starfield</w:t>
      </w:r>
      <w:proofErr w:type="spellEnd"/>
      <w:r w:rsidR="00496E66">
        <w:rPr>
          <w:rFonts w:ascii="Times New Roman" w:hAnsi="Times New Roman"/>
        </w:rPr>
        <w:t xml:space="preserve"> and colleagues prominently argued that by comparing the United States to other countries with high average income, </w:t>
      </w:r>
      <w:r w:rsidR="00A73C4B">
        <w:rPr>
          <w:rFonts w:ascii="Times New Roman" w:hAnsi="Times New Roman"/>
        </w:rPr>
        <w:t>the availability of primary care services</w:t>
      </w:r>
      <w:r w:rsidR="00496E66">
        <w:rPr>
          <w:rFonts w:ascii="Times New Roman" w:hAnsi="Times New Roman"/>
        </w:rPr>
        <w:t>—that is, services provided by a generalist physician in an accessible manner across a broad range of illnesses and with longitudinal continuity between patient and provider—</w:t>
      </w:r>
      <w:r w:rsidR="00AB5C8F">
        <w:rPr>
          <w:rFonts w:ascii="Times New Roman" w:hAnsi="Times New Roman"/>
        </w:rPr>
        <w:t>could be</w:t>
      </w:r>
      <w:r w:rsidR="00496E66">
        <w:rPr>
          <w:rFonts w:ascii="Times New Roman" w:hAnsi="Times New Roman"/>
        </w:rPr>
        <w:t xml:space="preserve"> associated with lower all-cause and cause-specific mortality</w:t>
      </w:r>
      <w:r w:rsidR="001F5F93">
        <w:rPr>
          <w:rFonts w:ascii="Times New Roman" w:hAnsi="Times New Roman"/>
        </w:rPr>
        <w:t>,</w:t>
      </w:r>
      <w:r w:rsidR="00496E66">
        <w:rPr>
          <w:rFonts w:ascii="Times New Roman" w:hAnsi="Times New Roman"/>
        </w:rPr>
        <w:t xml:space="preserve"> when analyses were aggregated at the level of entire </w:t>
      </w:r>
      <w:r w:rsidR="00501F61">
        <w:rPr>
          <w:rFonts w:ascii="Times New Roman" w:hAnsi="Times New Roman"/>
        </w:rPr>
        <w:t>nations</w:t>
      </w:r>
      <w:r w:rsidR="00496E66">
        <w:rPr>
          <w:rFonts w:ascii="Times New Roman" w:hAnsi="Times New Roman"/>
        </w:rPr>
        <w:t>.</w:t>
      </w:r>
      <w:r w:rsidR="00CE1880">
        <w:rPr>
          <w:rFonts w:ascii="Times New Roman" w:hAnsi="Times New Roman"/>
        </w:rPr>
        <w:fldChar w:fldCharType="begin" w:fldLock="1"/>
      </w:r>
      <w:r w:rsidR="00CE1880">
        <w:rPr>
          <w:rFonts w:ascii="Times New Roman" w:hAnsi="Times New Roman"/>
        </w:rPr>
        <w:instrText>ADDIN CSL_CITATION { "citationItems" : [ { "id" : "ITEM-1", "itemData" : { "author" : [ { "dropping-particle" : "", "family" : "Macinko", "given" : "J", "non-dropping-particle" : "", "parse-names" : false, "suffix" : "" }, { "dropping-particle" : "", "family" : "Starfield", "given" : "B", "non-dropping-particle" : "", "parse-names" : false, "suffix" : "" }, { "dropping-particle" : "", "family" : "research", "given" : "L Shi - Health services", "non-dropping-particle" : "", "parse-names" : false, "suffix" : "" }, { "dropping-particle" : "", "family" : "2003", "given" : "undefined", "non-dropping-particle" : "", "parse-names" : false, "suffix" : "" } ], "container-title" : "Wiley Online Library", "id" : "ITEM-1", "issued" : { "date-parts" : [ [ "0" ] ] }, "title" : "The contribution of primary care systems to health outcomes within Organization for Economic Cooperation and Development (OECD) countries, 1970\u20131998", "type" : "article-journal" }, "uris" : [ "http://www.mendeley.com/documents/?uuid=194a22e7-a096-3d36-a189-a8a15be21be5" ] } ], "mendeley" : { "formattedCitation" : "&lt;sup&gt;7&lt;/sup&gt;", "plainTextFormattedCitation" : "7", "previouslyFormattedCitation" : "&lt;sup&gt;7&lt;/sup&gt;" }, "properties" : {  }, "schema" : "https://github.com/citation-style-language/schema/raw/master/csl-citation.json" }</w:instrText>
      </w:r>
      <w:r w:rsidR="00CE1880">
        <w:rPr>
          <w:rFonts w:ascii="Times New Roman" w:hAnsi="Times New Roman"/>
        </w:rPr>
        <w:fldChar w:fldCharType="separate"/>
      </w:r>
      <w:r w:rsidR="00CE1880" w:rsidRPr="00CE1880">
        <w:rPr>
          <w:rFonts w:ascii="Times New Roman" w:hAnsi="Times New Roman"/>
          <w:noProof/>
          <w:vertAlign w:val="superscript"/>
        </w:rPr>
        <w:t>7</w:t>
      </w:r>
      <w:r w:rsidR="00CE1880">
        <w:rPr>
          <w:rFonts w:ascii="Times New Roman" w:hAnsi="Times New Roman"/>
        </w:rPr>
        <w:fldChar w:fldCharType="end"/>
      </w:r>
      <w:r w:rsidR="00496E66">
        <w:rPr>
          <w:rFonts w:ascii="Times New Roman" w:hAnsi="Times New Roman"/>
        </w:rPr>
        <w:t xml:space="preserve"> </w:t>
      </w:r>
      <w:r w:rsidR="00091ABC">
        <w:rPr>
          <w:rFonts w:ascii="Times New Roman" w:hAnsi="Times New Roman"/>
        </w:rPr>
        <w:t>State</w:t>
      </w:r>
      <w:r w:rsidR="00826FC8">
        <w:rPr>
          <w:rFonts w:ascii="Times New Roman" w:hAnsi="Times New Roman"/>
        </w:rPr>
        <w:t>-level</w:t>
      </w:r>
      <w:r w:rsidR="00091ABC">
        <w:rPr>
          <w:rFonts w:ascii="Times New Roman" w:hAnsi="Times New Roman"/>
        </w:rPr>
        <w:t xml:space="preserve"> </w:t>
      </w:r>
      <w:r w:rsidR="00EA2BC1">
        <w:rPr>
          <w:rFonts w:ascii="Times New Roman" w:hAnsi="Times New Roman"/>
        </w:rPr>
        <w:t xml:space="preserve">and metro-area </w:t>
      </w:r>
      <w:r w:rsidR="00091ABC">
        <w:rPr>
          <w:rFonts w:ascii="Times New Roman" w:hAnsi="Times New Roman"/>
        </w:rPr>
        <w:t xml:space="preserve">assessments in the 1990’s also showed that </w:t>
      </w:r>
      <w:r w:rsidR="00927181">
        <w:rPr>
          <w:rFonts w:ascii="Times New Roman" w:hAnsi="Times New Roman"/>
        </w:rPr>
        <w:t>large areas</w:t>
      </w:r>
      <w:r w:rsidR="00091ABC">
        <w:rPr>
          <w:rFonts w:ascii="Times New Roman" w:hAnsi="Times New Roman"/>
        </w:rPr>
        <w:t xml:space="preserve"> with more primary care physicians tended to have better birth outcomes and lower overall </w:t>
      </w:r>
      <w:r w:rsidR="00675594">
        <w:rPr>
          <w:rFonts w:ascii="Times New Roman" w:hAnsi="Times New Roman"/>
        </w:rPr>
        <w:t xml:space="preserve">and cause-specific </w:t>
      </w:r>
      <w:r w:rsidR="00091ABC">
        <w:rPr>
          <w:rFonts w:ascii="Times New Roman" w:hAnsi="Times New Roman"/>
        </w:rPr>
        <w:t>mortality</w:t>
      </w:r>
      <w:r w:rsidR="006A1F4A">
        <w:rPr>
          <w:rFonts w:ascii="Times New Roman" w:hAnsi="Times New Roman"/>
        </w:rPr>
        <w:t>,</w:t>
      </w:r>
      <w:r w:rsidR="007772C5">
        <w:rPr>
          <w:rFonts w:ascii="Times New Roman" w:hAnsi="Times New Roman"/>
        </w:rPr>
        <w:fldChar w:fldCharType="begin" w:fldLock="1"/>
      </w:r>
      <w:r w:rsidR="007772C5">
        <w:rPr>
          <w:rFonts w:ascii="Times New Roman" w:hAnsi="Times New Roman"/>
        </w:rPr>
        <w:instrText>ADDIN CSL_CITATION { "citationItems" : [ { "id" : "ITEM-1", "itemData" : { "DOI" : "10.1016/J.SOCSCIMED.2004.11.056", "ISSN" : "0277-9536", "abstract" : "This study used US state-level data from 1985 to 1995 to examine the relationship of primary care resources and income inequality with all-cause mortality within the entire population, and in black and white populations. The study is a pooled ecological design with repeated measures using 11 years of state-level data (n=549). Analyses controlled for socioeconomic and demographic characteristics. Contemporaneous and time-lagged covariates were modeled, and all analyses were stratified by race/ethnicity. In all models, primary care was associated with lower mortality. An increase of one primary care doctor per 10,000 population was associated with a reduction of 14.4 deaths per 100,000. The magnitude of primary care coefficients was higher for black mortality than for white mortality. Income inequality was not associated with mortality after controlling for state-level sociodemographic covariates. The study provides evidence that primary care resources are associated with population health and could aid in reducing socioeconomic disparities in health.", "author" : [ { "dropping-particle" : "", "family" : "Shi", "given" : "Leiyu", "non-dropping-particle" : "", "parse-names" : false, "suffix" : "" }, { "dropping-particle" : "", "family" : "Macinko", "given" : "James", "non-dropping-particle" : "", "parse-names" : false, "suffix" : "" }, { "dropping-particle" : "", "family" : "Starfield", "given" : "Barbara", "non-dropping-particle" : "", "parse-names" : false, "suffix" : "" }, { "dropping-particle" : "", "family" : "Politzer", "given" : "Robert", "non-dropping-particle" : "", "parse-names" : false, "suffix" : "" }, { "dropping-particle" : "", "family" : "Xu", "given" : "Jiahong", "non-dropping-particle" : "", "parse-names" : false, "suffix" : "" } ], "container-title" : "Social Science &amp; Medicine", "id" : "ITEM-1", "issue" : "1", "issued" : { "date-parts" : [ [ "2005", "7", "1" ] ] }, "page" : "65-75", "publisher" : "Pergamon", "title" : "Primary care, race, and mortality in US states", "type" : "article-journal", "volume" : "61" }, "uris" : [ "http://www.mendeley.com/documents/?uuid=089463a3-2e1f-386a-af88-924636faf244" ] }, { "id" : "ITEM-2", "itemData" : { "ISSN" : "0893-8652", "PMID" : "14645332", "abstract" : "OBJECTIVES This study tests the robustness of the relationships between primary care, income inequality, and population health by (1) assessing the relationship during 4 time periods-1980, 1985, 1990 and 1995; (2) examining the independent effect of components of the primary care physician supply; (3) using 2 different measures of income inequality (Robin Hood index and Gini coefficient); and (4) testing the robustness of the association by using 5-year time-lagged independent variables. DATA SOURCES/STUDY SETTING Data are derived from the Compressed Mortality Files, the US Department of Commerce and the Census Bureau, the National Center for Health Statistics, the Centers for Disease Control and Prevention, and the American Medical Association Physician Master File. The unit of analysis was the 50 US states over a 15-year period. STUDY DESIGN Ecological, cross-sectional design for 4 selected years (1980, 1985, 1990, 1995), and incorporating 5-year time-lagged independent variables. The main outcome measure is age-standardized, all-cause mortality per 100,000 population in all 50 US states in all 4 time periods. DATA COLLECTION/EXTRACTION METHODS The study used secondary data from publicly available data sets. The CDC WONDER/PC software was used to obtain mortality data and directly standardize them for age to the 1980 US population. Data used to calculate the income inequality measure came from the US census population and housing summary tapes for the years 1980 to 1995. Counts of the number of households that fell into each income interval along with the total aggregate income and the median household income were obtained for each state. The Gini coefficient for each state was calculated using software developed for this purpose. RESULTS In weighted multivariate regressions, both contemporaneous and time-lagged income inequality measures (Gini coefficient, Robin Hood Index) were significantly associated with all-cause mortality (P &lt;.05 for both measures for all time periods). Contemporaneous and time-lagged primary care physician-to-population ratios were significantly associated with lower all-cause mortality (P &lt;.05 for all 4 time periods), whereas specialty care measures were associated with higher mortality (P &lt;.05 for all time periods, except 1990, where P &lt;.1). Among primary care subspecialties, only family medicine was consistently associated with lower mortality (P &lt;.01 for all time periods). CONCLUSIONS Enhancing primary care, particularly f\u2026", "author" : [ { "dropping-particle" : "", "family" : "Shi", "given" : "Leiyu", "non-dropping-particle" : "", "parse-names" : false, "suffix" : "" }, { "dropping-particle" : "", "family" : "Macinko", "given" : "James", "non-dropping-particle" : "", "parse-names" : false, "suffix" : "" }, { "dropping-particle" : "", "family" : "Starfield", "given" : "Barbara", "non-dropping-particle" : "", "parse-names" : false, "suffix" : "" }, { "dropping-particle" : "", "family" : "Wulu", "given" : "John", "non-dropping-particle" : "", "parse-names" : false, "suffix" : "" }, { "dropping-particle" : "", "family" : "Regan", "given" : "Jerri", "non-dropping-particle" : "", "parse-names" : false, "suffix" : "" }, { "dropping-particle" : "", "family" : "Politzer", "given" : "Robert", "non-dropping-particle" : "", "parse-names" : false, "suffix" : "" } ], "container-title" : "The Journal of the American Board of Family Practice", "id" : "ITEM-2", "issue" : "5", "issued" : { "date-parts" : [ [ "0" ] ] }, "page" : "412-22", "title" : "The relationship between primary care, income inequality, and mortality in US States, 1980-1995.", "type" : "article-journal", "volume" : "16" }, "uris" : [ "http://www.mendeley.com/documents/?uuid=3abd6bca-3a3a-3352-8faf-f49dddd68928" ] }, { "id" : "ITEM-3", "itemData" : { "DOI" : "10.1161/01.STR.0000082380.80444.A9", "ISSN" : "0039-2499", "PMID" : "12843344", "abstract" : "BACKGROUND AND PURPOSE The goal of this study was to test whether primary care reduces the impact of income inequality on stroke mortality. METHODS This study used pooled time-series cross-sectional analysis of 11 years of state-level data (n=549). Analyses controlled for education levels, unemployment, racial/ethnic composition, and percent urban. Contemporaneous and time-lagged covariates were modeled. RESULTS Primary care was negatively associated with stroke mortality in models including all covariates (P&lt;0.0001). The impact of income inequality on stroke mortality was reduced in the presence of primary care (P&lt;0.0001) but disappeared with the addition of covariates (P&gt;0.05). CONCLUSIONS In the absence of social policy that addresses sociodemographic determinants of health, primary care promotion may serve as a palliative strategy for combating stroke mortality and reducing the adverse impact of income inequality on health.", "author" : [ { "dropping-particle" : "", "family" : "Shi", "given" : "L.", "non-dropping-particle" : "", "parse-names" : false, "suffix" : "" }, { "dropping-particle" : "", "family" : "Macinko", "given" : "J.", "non-dropping-particle" : "", "parse-names" : false, "suffix" : "" }, { "dropping-particle" : "", "family" : "Starfield", "given" : "B.", "non-dropping-particle" : "", "parse-names" : false, "suffix" : "" }, { "dropping-particle" : "", "family" : "Xu", "given" : "J.", "non-dropping-particle" : "", "parse-names" : false, "suffix" : "" }, { "dropping-particle" : "", "family" : "Politzer", "given" : "R.", "non-dropping-particle" : "", "parse-names" : false, "suffix" : "" } ], "container-title" : "Stroke", "id" : "ITEM-3", "issue" : "8", "issued" : { "date-parts" : [ [ "2003", "8", "1" ] ] }, "page" : "1958-1964", "title" : "Primary Care, Income Inequality, and Stroke Mortality in the United States: A Longitudinal Analysis, 1985-1995", "type" : "article-journal", "volume" : "34" }, "uris" : [ "http://www.mendeley.com/documents/?uuid=9fcaf787-96f9-3868-869c-5df215864de4" ] }, { "id" : "ITEM-4", "itemData" : { "DOI" : "10.1136/JECH.2003.013078", "ISSN" : "0143-005X", "PMID" : "15082734", "abstract" : "STUDY OBJECTIVE The study tests the extent to which primary care physician supply (office based primary care physicians per 10 000 population) moderates the association between social inequalities and infant mortality and low birth weight throughout the 50 states of the USA. DESIGN Pooled cross sectional, time series analysis of secondary data. Analyses controlled for state level education, unemployment, racial/ethnic composition, income inequality, and urban/rural differences. Contemporaneous and time lagged covariates were modelled. SETTING Eleven years (1985-95) of data from 50 US states (final n = 549 because of one missing data point). MAIN RESULTS Primary care was negatively associated with infant mortality and low birth weight in all multivariate models (p&lt;0.0001). The association was consistent in contemporaneous and time lagged models. Although income inequality was positively associated with low birth weight and infant mortality (p&lt;0.0001), the association with infant mortality disappeared with the addition of sociodemographic covariates. CONCLUSIONS In US states, an increased supply of primary care practitioners-especially in areas with high levels of social disparities-is negatively associated with infant mortality and low birth weight.", "author" : [ { "dropping-particle" : "", "family" : "Shi", "given" : "L", "non-dropping-particle" : "", "parse-names" : false, "suffix" : "" }, { "dropping-particle" : "", "family" : "Macinko", "given" : "J", "non-dropping-particle" : "", "parse-names" : false, "suffix" : "" }, { "dropping-particle" : "", "family" : "Starfield", "given" : "B", "non-dropping-particle" : "", "parse-names" : false, "suffix" : "" }, { "dropping-particle" : "", "family" : "Xu", "given" : "J", "non-dropping-particle" : "", "parse-names" : false, "suffix" : "" }, { "dropping-particle" : "", "family" : "Regan", "given" : "J", "non-dropping-particle" : "", "parse-names" : false, "suffix" : "" }, { "dropping-particle" : "", "family" : "Politzer", "given" : "R", "non-dropping-particle" : "", "parse-names" : false, "suffix" : "" }, { "dropping-particle" : "", "family" : "Wulu", "given" : "J", "non-dropping-particle" : "", "parse-names" : false, "suffix" : "" } ], "container-title" : "Journal of Epidemiology and Community Health", "id" : "ITEM-4", "issue" : "5", "issued" : { "date-parts" : [ [ "2004", "5" ] ] }, "page" : "374", "publisher" : "BMJ Publishing Group", "title" : "Primary care, infant mortality, and low birth weight in the states of the USA", "type" : "article-journal", "volume" : "58" }, "uris" : [ "http://www.mendeley.com/documents/?uuid=79647de5-ddf6-3520-9295-b93dad361958" ] }, { "id" : "ITEM-5", "itemData" : { "ISSN" : "0090-0036", "PMID" : "11499112", "abstract" : "OBJECTIVES This study assessed whether income inequality and primary care physician supply have a different effect on mortality among Blacks compared with Whites. METHODS We conducted a multivariate ecologic analysis of 1990 data from 273 US metropolitan areas. RESULTS Both income inequality and primary care physician supply were significantly associated with White mortality (P &lt; .01). After the inclusion of the socioeconomic status covariates, the effect of income inequality on Black mortality remained significant (P &lt; .01), but the effect of primary care physician supply was no longer significant (P &gt; .10), particularly in areas with high income inequality. CONCLUSIONS Improvement in population health requires addressing socioeconomic determinants of health, including income inequality and primary care availability and access.", "author" : [ { "dropping-particle" : "", "family" : "Shi", "given" : "L", "non-dropping-particle" : "", "parse-names" : false, "suffix" : "" }, { "dropping-particle" : "", "family" : "Starfield", "given" : "B", "non-dropping-particle" : "", "parse-names" : false, "suffix" : "" } ], "container-title" : "American journal of public health", "id" : "ITEM-5", "issue" : "8", "issued" : { "date-parts" : [ [ "2001", "8" ] ] }, "page" : "1246-50", "publisher" : "American Public Health Association", "title" : "The effect of primary care physician supply and income inequality on mortality among blacks and whites in US metropolitan areas.", "type" : "article-journal", "volume" : "91" }, "uris" : [ "http://www.mendeley.com/documents/?uuid=8b840a0e-01b4-309f-8c45-245266d2106e" ] } ], "mendeley" : { "formattedCitation" : "&lt;sup&gt;8\u201312&lt;/sup&gt;", "plainTextFormattedCitation" : "8\u201312", "previouslyFormattedCitation" : "&lt;sup&gt;8\u201312&lt;/sup&gt;" }, "properties" : {  }, "schema" : "https://github.com/citation-style-language/schema/raw/master/csl-citation.json" }</w:instrText>
      </w:r>
      <w:r w:rsidR="007772C5">
        <w:rPr>
          <w:rFonts w:ascii="Times New Roman" w:hAnsi="Times New Roman"/>
        </w:rPr>
        <w:fldChar w:fldCharType="separate"/>
      </w:r>
      <w:r w:rsidR="007772C5" w:rsidRPr="007772C5">
        <w:rPr>
          <w:rFonts w:ascii="Times New Roman" w:hAnsi="Times New Roman"/>
          <w:noProof/>
          <w:vertAlign w:val="superscript"/>
        </w:rPr>
        <w:t>8–12</w:t>
      </w:r>
      <w:r w:rsidR="007772C5">
        <w:rPr>
          <w:rFonts w:ascii="Times New Roman" w:hAnsi="Times New Roman"/>
        </w:rPr>
        <w:fldChar w:fldCharType="end"/>
      </w:r>
      <w:r w:rsidR="006A1F4A">
        <w:rPr>
          <w:rFonts w:ascii="Times New Roman" w:hAnsi="Times New Roman"/>
        </w:rPr>
        <w:t xml:space="preserve"> although whether these </w:t>
      </w:r>
      <w:r w:rsidR="00252025">
        <w:rPr>
          <w:rFonts w:ascii="Times New Roman" w:hAnsi="Times New Roman"/>
        </w:rPr>
        <w:t>associations</w:t>
      </w:r>
      <w:r w:rsidR="006A1F4A">
        <w:rPr>
          <w:rFonts w:ascii="Times New Roman" w:hAnsi="Times New Roman"/>
        </w:rPr>
        <w:t xml:space="preserve"> were independent of other types of medical care</w:t>
      </w:r>
      <w:r w:rsidR="00145F8C">
        <w:rPr>
          <w:rFonts w:ascii="Times New Roman" w:hAnsi="Times New Roman"/>
        </w:rPr>
        <w:t xml:space="preserve">, overall healthcare </w:t>
      </w:r>
      <w:r w:rsidR="00FB701E">
        <w:rPr>
          <w:rFonts w:ascii="Times New Roman" w:hAnsi="Times New Roman"/>
        </w:rPr>
        <w:t>infrastructure</w:t>
      </w:r>
      <w:r w:rsidR="00145F8C">
        <w:rPr>
          <w:rFonts w:ascii="Times New Roman" w:hAnsi="Times New Roman"/>
        </w:rPr>
        <w:t>,</w:t>
      </w:r>
      <w:r w:rsidR="006A1F4A">
        <w:rPr>
          <w:rFonts w:ascii="Times New Roman" w:hAnsi="Times New Roman"/>
        </w:rPr>
        <w:t xml:space="preserve"> and </w:t>
      </w:r>
      <w:r w:rsidR="00910751">
        <w:rPr>
          <w:rFonts w:ascii="Times New Roman" w:hAnsi="Times New Roman"/>
        </w:rPr>
        <w:t>unaccounted-for</w:t>
      </w:r>
      <w:r w:rsidR="006A1F4A">
        <w:rPr>
          <w:rFonts w:ascii="Times New Roman" w:hAnsi="Times New Roman"/>
        </w:rPr>
        <w:t xml:space="preserve"> community factors remains unclear</w:t>
      </w:r>
      <w:r w:rsidR="00091ABC">
        <w:rPr>
          <w:rFonts w:ascii="Times New Roman" w:hAnsi="Times New Roman"/>
        </w:rPr>
        <w:t xml:space="preserve">. </w:t>
      </w:r>
    </w:p>
    <w:p w14:paraId="6CD84357" w14:textId="3ABF0E32" w:rsidR="002B159C" w:rsidRDefault="00CE1880" w:rsidP="00082298">
      <w:pPr>
        <w:spacing w:line="360" w:lineRule="auto"/>
        <w:ind w:firstLine="720"/>
        <w:rPr>
          <w:rFonts w:ascii="Times New Roman" w:hAnsi="Times New Roman"/>
        </w:rPr>
      </w:pPr>
      <w:r>
        <w:rPr>
          <w:rFonts w:ascii="Times New Roman" w:hAnsi="Times New Roman"/>
        </w:rPr>
        <w:t>Recent assessments of</w:t>
      </w:r>
      <w:r w:rsidR="00130A19">
        <w:rPr>
          <w:rFonts w:ascii="Times New Roman" w:hAnsi="Times New Roman"/>
        </w:rPr>
        <w:t xml:space="preserve"> smaller area-level inequalities </w:t>
      </w:r>
      <w:r w:rsidR="00AC30B8">
        <w:rPr>
          <w:rFonts w:ascii="Times New Roman" w:hAnsi="Times New Roman"/>
        </w:rPr>
        <w:t xml:space="preserve">in the United States </w:t>
      </w:r>
      <w:r w:rsidR="00CE7869">
        <w:rPr>
          <w:rFonts w:ascii="Times New Roman" w:hAnsi="Times New Roman"/>
        </w:rPr>
        <w:t xml:space="preserve">during the early 2000’s </w:t>
      </w:r>
      <w:r w:rsidR="00130A19">
        <w:rPr>
          <w:rFonts w:ascii="Times New Roman" w:hAnsi="Times New Roman"/>
        </w:rPr>
        <w:t xml:space="preserve">suggested </w:t>
      </w:r>
      <w:r w:rsidR="00360218">
        <w:rPr>
          <w:rFonts w:ascii="Times New Roman" w:hAnsi="Times New Roman"/>
        </w:rPr>
        <w:t>increasing</w:t>
      </w:r>
      <w:r w:rsidR="00130A19">
        <w:rPr>
          <w:rFonts w:ascii="Times New Roman" w:hAnsi="Times New Roman"/>
        </w:rPr>
        <w:t xml:space="preserve"> variations in life expectancy</w:t>
      </w:r>
      <w:r w:rsidR="00E91E82">
        <w:rPr>
          <w:rFonts w:ascii="Times New Roman" w:hAnsi="Times New Roman"/>
        </w:rPr>
        <w:t xml:space="preserve"> and cause-specific mortality</w:t>
      </w:r>
      <w:r w:rsidR="00827ECB">
        <w:rPr>
          <w:rFonts w:ascii="Times New Roman" w:hAnsi="Times New Roman"/>
        </w:rPr>
        <w:t xml:space="preserve"> across the nation</w:t>
      </w:r>
      <w:r w:rsidR="00E91E82">
        <w:rPr>
          <w:rFonts w:ascii="Times New Roman" w:hAnsi="Times New Roman"/>
        </w:rPr>
        <w:t xml:space="preserve">, including stagnating or decreasing life expectancy in some </w:t>
      </w:r>
      <w:r w:rsidR="00360218">
        <w:rPr>
          <w:rFonts w:ascii="Times New Roman" w:hAnsi="Times New Roman"/>
        </w:rPr>
        <w:lastRenderedPageBreak/>
        <w:t>counties</w:t>
      </w:r>
      <w:r w:rsidR="00E91E82">
        <w:rPr>
          <w:rFonts w:ascii="Times New Roman" w:hAnsi="Times New Roman"/>
        </w:rPr>
        <w:t xml:space="preserve">, and increasing mortality from </w:t>
      </w:r>
      <w:r w:rsidR="00910AC8">
        <w:rPr>
          <w:rFonts w:ascii="Times New Roman" w:hAnsi="Times New Roman"/>
        </w:rPr>
        <w:t>substance use</w:t>
      </w:r>
      <w:r w:rsidR="008F73E8">
        <w:rPr>
          <w:rFonts w:ascii="Times New Roman" w:hAnsi="Times New Roman"/>
        </w:rPr>
        <w:t xml:space="preserve"> and self-harm</w:t>
      </w:r>
      <w:r w:rsidR="00233D9E">
        <w:rPr>
          <w:rFonts w:ascii="Times New Roman" w:hAnsi="Times New Roman"/>
        </w:rPr>
        <w:t>.</w:t>
      </w:r>
      <w:r w:rsidR="000A4850">
        <w:rPr>
          <w:rFonts w:ascii="Times New Roman" w:hAnsi="Times New Roman"/>
        </w:rPr>
        <w:fldChar w:fldCharType="begin" w:fldLock="1"/>
      </w:r>
      <w:r w:rsidR="000A4850">
        <w:rPr>
          <w:rFonts w:ascii="Times New Roman" w:hAnsi="Times New Roman"/>
        </w:rPr>
        <w:instrText>ADDIN CSL_CITATION { "citationItems" : [ { "id" : "ITEM-1", "itemData" : { "DOI" : "10.1073/pnas.1518393112", "ISSN" : "1091-6490", "PMID" : "26575631", "abstract" :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 "author" : [ { "dropping-particle" : "", "family" : "Case", "given" : "Anne", "non-dropping-particle" : "", "parse-names" : false, "suffix" : "" }, { "dropping-particle" : "", "family" : "Deaton", "given" : "Angus", "non-dropping-particle" : "", "parse-names" : false, "suffix" : "" } ], "container-title" : "Proceedings of the National Academy of Sciences of the United States of America", "id" : "ITEM-1", "issue" : "49", "issued" : { "date-parts" : [ [ "2015", "12", "8" ] ] }, "page" : "15078-83", "publisher" : "National Academy of Sciences", "title" : "Rising morbidity and mortality in midlife among white non-Hispanic Americans in the 21st century.", "type" : "article-journal", "volume" : "112" }, "uris" : [ "http://www.mendeley.com/documents/?uuid=3b821f95-1289-37bd-87ab-3a3e2b41b996" ] }, { "id" : "ITEM-2", "itemData" : { "DOI" : "10.1001/jama.2016.4226", "ISBN" : "0098-7484", "ISSN" : "15383598", "PMID" : "27063997", "abstract" : "In the United States between 2001 and 2014, higher income was associated with greater longevity, and differences in life expectancy across income groups increased over time. However, the association between life expectancy and income varied substantially across areas; differences in longevity across income groups decreased in some areas and increased in others. The differences in life expectancy were correlated with health behaviors and local area characteristics.", "author" : [ { "dropping-particle" : "", "family" : "Chetty", "given" : "Raj", "non-dropping-particle" : "", "parse-names" : false, "suffix" : "" }, { "dropping-particle" : "", "family" : "Stepner", "given" : "Michael", "non-dropping-particle" : "", "parse-names" : false, "suffix" : "" }, { "dropping-particle" : "", "family" : "Abraham", "given" : "Sarah", "non-dropping-particle" : "", "parse-names" : false, "suffix" : "" }, { "dropping-particle" : "", "family" : "Lin", "given" : "Shelby", "non-dropping-particle" : "", "parse-names" : false, "suffix" : "" }, { "dropping-particle" : "", "family" : "Scuderi", "given" : "Benjamin", "non-dropping-particle" : "", "parse-names" : false, "suffix" : "" }, { "dropping-particle" : "", "family" : "Turner", "given" : "Nicholas", "non-dropping-particle" : "", "parse-names" : false, "suffix" : "" }, { "dropping-particle" : "", "family" : "Bergeron", "given" : "Augustin", "non-dropping-particle" : "", "parse-names" : false, "suffix" : "" }, { "dropping-particle" : "", "family" : "Cutler", "given" : "David", "non-dropping-particle" : "", "parse-names" : false, "suffix" : "" } ], "container-title" : "JAMA - Journal of the American Medical Association", "id" : "ITEM-2", "issue" : "16", "issued" : { "date-parts" : [ [ "2016" ] ] }, "page" : "1750-1766", "title" : "The association between income and life expectancy in the United States, 2001-2014", "type" : "article-journal", "volume" : "315" }, "uris" : [ "http://www.mendeley.com/documents/?uuid=9445ae58-476d-45bd-ae6b-1ef22d079a56" ] }, { "id" : "ITEM-3", "itemData" : { "DOI" : "10.1001/jama.2018.0900", "ISSN" : "0098-7484", "author" : [ { "dropping-particle" : "", "family" : "Dwyer-Lindgren", "given" : "Laura", "non-dropping-particle" : "", "parse-names" : false, "suffix" : "" }, { "dropping-particle" : "", "family" : "Bertozzi-Villa", "given" : "Amelia", "non-dropping-particle" : "", "parse-names" : false, "suffix" : "" }, { "dropping-particle" : "", "family" : "Stubbs", "given" : "Rebecca W.", "non-dropping-particle" : "", "parse-names" : false, "suffix" : "" }, { "dropping-particle" : "", "family" : "Morozoff", "given" : "Chloe", "non-dropping-particle" : "", "parse-names" : false, "suffix" : "" }, { "dropping-particle" : "", "family" : "Shirude", "given" : "Shreya", "non-dropping-particle" : "", "parse-names" : false, "suffix" : "" }, { "dropping-particle" : "", "family" : "Un\u00fctzer", "given" : "J\u00fcrgen", "non-dropping-particle" : "", "parse-names" : false, "suffix" : "" }, { "dropping-particle" : "", "family" : "Naghavi", "given" : "Mohsen", "non-dropping-particle" : "", "parse-names" : false, "suffix" : "" }, { "dropping-particle" : "", "family" : "Mokdad", "given" : "Ali H.", "non-dropping-particle" : "", "parse-names" : false, "suffix" : "" }, { "dropping-particle" : "", "family" : "Murray", "given" : "Christopher J. L.", "non-dropping-particle" : "", "parse-names" : false, "suffix" : "" } ], "container-title" : "Jama", "id" : "ITEM-3", "issue" : "10", "issued" : { "date-parts" : [ [ "2018" ] ] }, "page" : "1013", "title" : "Trends and Patterns of Geographic Variation in Mortality From Substance Use Disorders and Intentional Injuries Among US Counties, 1980-2014", "type" : "article-journal", "volume" : "319" }, "uris" : [ "http://www.mendeley.com/documents/?uuid=41eca6f6-fd08-4d7d-b728-ecaccdb6a81a" ] } ], "mendeley" : { "formattedCitation" : "&lt;sup&gt;13\u201315&lt;/sup&gt;", "plainTextFormattedCitation" : "13\u201315", "previouslyFormattedCitation" : "&lt;sup&gt;13\u201315&lt;/sup&gt;" }, "properties" : {  }, "schema" : "https://github.com/citation-style-language/schema/raw/master/csl-citation.json" }</w:instrText>
      </w:r>
      <w:r w:rsidR="000A4850">
        <w:rPr>
          <w:rFonts w:ascii="Times New Roman" w:hAnsi="Times New Roman"/>
        </w:rPr>
        <w:fldChar w:fldCharType="separate"/>
      </w:r>
      <w:r w:rsidR="000A4850" w:rsidRPr="000A4850">
        <w:rPr>
          <w:rFonts w:ascii="Times New Roman" w:hAnsi="Times New Roman"/>
          <w:noProof/>
          <w:vertAlign w:val="superscript"/>
        </w:rPr>
        <w:t>13–15</w:t>
      </w:r>
      <w:r w:rsidR="000A4850">
        <w:rPr>
          <w:rFonts w:ascii="Times New Roman" w:hAnsi="Times New Roman"/>
        </w:rPr>
        <w:fldChar w:fldCharType="end"/>
      </w:r>
      <w:r w:rsidR="00910AC8">
        <w:rPr>
          <w:rFonts w:ascii="Times New Roman" w:hAnsi="Times New Roman"/>
        </w:rPr>
        <w:t xml:space="preserve"> Simultaneously,</w:t>
      </w:r>
      <w:r w:rsidR="003D46AB">
        <w:rPr>
          <w:rFonts w:ascii="Times New Roman" w:hAnsi="Times New Roman"/>
        </w:rPr>
        <w:t xml:space="preserve"> since </w:t>
      </w:r>
      <w:r w:rsidR="00A9618F">
        <w:rPr>
          <w:rFonts w:ascii="Times New Roman" w:hAnsi="Times New Roman"/>
        </w:rPr>
        <w:t>the early 2000’s</w:t>
      </w:r>
      <w:r w:rsidR="003D46AB">
        <w:rPr>
          <w:rFonts w:ascii="Times New Roman" w:hAnsi="Times New Roman"/>
        </w:rPr>
        <w:t>,</w:t>
      </w:r>
      <w:r w:rsidR="00910AC8">
        <w:rPr>
          <w:rFonts w:ascii="Times New Roman" w:hAnsi="Times New Roman"/>
        </w:rPr>
        <w:t xml:space="preserve"> healthcare reforms </w:t>
      </w:r>
      <w:r w:rsidR="00A9618F">
        <w:rPr>
          <w:rFonts w:ascii="Times New Roman" w:hAnsi="Times New Roman"/>
        </w:rPr>
        <w:t>at the state and national level</w:t>
      </w:r>
      <w:r w:rsidR="00910AC8">
        <w:rPr>
          <w:rFonts w:ascii="Times New Roman" w:hAnsi="Times New Roman"/>
        </w:rPr>
        <w:t xml:space="preserve"> dramatically expanded financial support for </w:t>
      </w:r>
      <w:r w:rsidR="00360218">
        <w:rPr>
          <w:rFonts w:ascii="Times New Roman" w:hAnsi="Times New Roman"/>
        </w:rPr>
        <w:t xml:space="preserve">primary care and increased </w:t>
      </w:r>
      <w:r w:rsidR="008F192A">
        <w:rPr>
          <w:rFonts w:ascii="Times New Roman" w:hAnsi="Times New Roman"/>
        </w:rPr>
        <w:t xml:space="preserve">the </w:t>
      </w:r>
      <w:r w:rsidR="004974F9">
        <w:rPr>
          <w:rFonts w:ascii="Times New Roman" w:hAnsi="Times New Roman"/>
        </w:rPr>
        <w:t xml:space="preserve">financial </w:t>
      </w:r>
      <w:r w:rsidR="00360218">
        <w:rPr>
          <w:rFonts w:ascii="Times New Roman" w:hAnsi="Times New Roman"/>
        </w:rPr>
        <w:t xml:space="preserve">responsibility </w:t>
      </w:r>
      <w:r w:rsidR="008F192A">
        <w:rPr>
          <w:rFonts w:ascii="Times New Roman" w:hAnsi="Times New Roman"/>
        </w:rPr>
        <w:t>of</w:t>
      </w:r>
      <w:r w:rsidR="00360218">
        <w:rPr>
          <w:rFonts w:ascii="Times New Roman" w:hAnsi="Times New Roman"/>
        </w:rPr>
        <w:t xml:space="preserve"> </w:t>
      </w:r>
      <w:r w:rsidR="004974F9">
        <w:rPr>
          <w:rFonts w:ascii="Times New Roman" w:hAnsi="Times New Roman"/>
        </w:rPr>
        <w:t>medical care providers for population-health outcomes</w:t>
      </w:r>
      <w:r w:rsidR="00BC44DB">
        <w:rPr>
          <w:rFonts w:ascii="Times New Roman" w:hAnsi="Times New Roman"/>
        </w:rPr>
        <w:t xml:space="preserve">. </w:t>
      </w:r>
      <w:r w:rsidR="008667BE">
        <w:rPr>
          <w:rFonts w:ascii="Times New Roman" w:hAnsi="Times New Roman"/>
        </w:rPr>
        <w:t>P</w:t>
      </w:r>
      <w:r w:rsidR="009A29B4">
        <w:rPr>
          <w:rFonts w:ascii="Times New Roman" w:hAnsi="Times New Roman"/>
        </w:rPr>
        <w:t xml:space="preserve">rimary care providers </w:t>
      </w:r>
      <w:r w:rsidR="002C4E77">
        <w:rPr>
          <w:rFonts w:ascii="Times New Roman" w:hAnsi="Times New Roman"/>
        </w:rPr>
        <w:t xml:space="preserve">and their associated healthcare ownership companies </w:t>
      </w:r>
      <w:r w:rsidR="009A29B4">
        <w:rPr>
          <w:rFonts w:ascii="Times New Roman" w:hAnsi="Times New Roman"/>
        </w:rPr>
        <w:t>in many states</w:t>
      </w:r>
      <w:r w:rsidR="00574600">
        <w:rPr>
          <w:rFonts w:ascii="Times New Roman" w:hAnsi="Times New Roman"/>
        </w:rPr>
        <w:t>, for example,</w:t>
      </w:r>
      <w:r w:rsidR="009A29B4">
        <w:rPr>
          <w:rFonts w:ascii="Times New Roman" w:hAnsi="Times New Roman"/>
        </w:rPr>
        <w:t xml:space="preserve"> have received increased funding</w:t>
      </w:r>
      <w:r w:rsidR="00B7327D">
        <w:rPr>
          <w:rFonts w:ascii="Times New Roman" w:hAnsi="Times New Roman"/>
        </w:rPr>
        <w:t xml:space="preserve"> to support proactive treatment of hypertension, diabetes, depression, substance abuse, and other chronic conditions</w:t>
      </w:r>
      <w:r w:rsidR="009A29B4">
        <w:rPr>
          <w:rFonts w:ascii="Times New Roman" w:hAnsi="Times New Roman"/>
        </w:rPr>
        <w:t xml:space="preserve">, and conversely </w:t>
      </w:r>
      <w:r w:rsidR="00E87367">
        <w:rPr>
          <w:rFonts w:ascii="Times New Roman" w:hAnsi="Times New Roman"/>
        </w:rPr>
        <w:t>receive</w:t>
      </w:r>
      <w:r w:rsidR="00770BC8">
        <w:rPr>
          <w:rFonts w:ascii="Times New Roman" w:hAnsi="Times New Roman"/>
        </w:rPr>
        <w:t>d</w:t>
      </w:r>
      <w:r w:rsidR="00E87367">
        <w:rPr>
          <w:rFonts w:ascii="Times New Roman" w:hAnsi="Times New Roman"/>
        </w:rPr>
        <w:t xml:space="preserve"> </w:t>
      </w:r>
      <w:r w:rsidR="009A29B4">
        <w:rPr>
          <w:rFonts w:ascii="Times New Roman" w:hAnsi="Times New Roman"/>
        </w:rPr>
        <w:t>financial penalties</w:t>
      </w:r>
      <w:r w:rsidR="00E87367">
        <w:rPr>
          <w:rFonts w:ascii="Times New Roman" w:hAnsi="Times New Roman"/>
        </w:rPr>
        <w:t xml:space="preserve"> if they fail</w:t>
      </w:r>
      <w:r w:rsidR="00770BC8">
        <w:rPr>
          <w:rFonts w:ascii="Times New Roman" w:hAnsi="Times New Roman"/>
        </w:rPr>
        <w:t>ed</w:t>
      </w:r>
      <w:r w:rsidR="00E87367">
        <w:rPr>
          <w:rFonts w:ascii="Times New Roman" w:hAnsi="Times New Roman"/>
        </w:rPr>
        <w:t xml:space="preserve"> to meet</w:t>
      </w:r>
      <w:r w:rsidR="009A29B4">
        <w:rPr>
          <w:rFonts w:ascii="Times New Roman" w:hAnsi="Times New Roman"/>
        </w:rPr>
        <w:t xml:space="preserve"> population health </w:t>
      </w:r>
      <w:r w:rsidR="00E87367">
        <w:rPr>
          <w:rFonts w:ascii="Times New Roman" w:hAnsi="Times New Roman"/>
        </w:rPr>
        <w:t>metrics</w:t>
      </w:r>
      <w:r w:rsidR="009A29B4">
        <w:rPr>
          <w:rFonts w:ascii="Times New Roman" w:hAnsi="Times New Roman"/>
        </w:rPr>
        <w:t xml:space="preserve"> </w:t>
      </w:r>
      <w:r w:rsidR="00E87367">
        <w:rPr>
          <w:rFonts w:ascii="Times New Roman" w:hAnsi="Times New Roman"/>
        </w:rPr>
        <w:t>for</w:t>
      </w:r>
      <w:r w:rsidR="009A29B4">
        <w:rPr>
          <w:rFonts w:ascii="Times New Roman" w:hAnsi="Times New Roman"/>
        </w:rPr>
        <w:t xml:space="preserve"> their catchment population.</w:t>
      </w:r>
      <w:r w:rsidR="000A4850">
        <w:rPr>
          <w:rFonts w:ascii="Times New Roman" w:hAnsi="Times New Roman"/>
        </w:rPr>
        <w:fldChar w:fldCharType="begin" w:fldLock="1"/>
      </w:r>
      <w:r w:rsidR="000A4850">
        <w:rPr>
          <w:rFonts w:ascii="Times New Roman" w:hAnsi="Times New Roman"/>
        </w:rPr>
        <w:instrText>ADDIN CSL_CITATION { "citationItems" : [ { "id" : "ITEM-1", "itemData" : { "DOI" : "10.1056/NEJMsa1404026", "ISSN" : "0028-4793", "abstract" : "Background Spending and quality under global budgets remain unknown beyond 2 years. We evaluated spending and quality measures during the first 4 years of the Blue Cross Blue Shield of Massachusetts Alternative Quality Contract (AQC). Methods We compared spending and quality among enrollees whose physician organizations entered the AQC from 2009 through 2012 with those among persons in control states. We studied spending changes according to year, category of service, site of care, experience managing risk contracts, and price versus utilization. We evaluated process and outcome quality. Results In the 2009 AQC cohort, medical spending on claims grew an average of $62.21 per enrollee per quarter less than it did in the control cohort over the 4-year period (P&lt;0.001). This amount is equivalent to a 6.8% savings when calculated as a proportion of the average post-AQC spending level in the 2009 AQC cohort. Analogously, the 2010, 2011, and 2012 cohorts had average savings of 8.8% (P&lt;0.001), 9.1% (P&lt;0.001), an...", "author" : [ { "dropping-particle" : "", "family" : "Song", "given" : "Zirui", "non-dropping-particle" : "", "parse-names" : false, "suffix" : "" }, { "dropping-particle" : "", "family" : "Rose", "given" : "Sherri", "non-dropping-particle" : "", "parse-names" : false, "suffix" : "" }, { "dropping-particle" : "", "family" : "Safran", "given" : "Dana G.", "non-dropping-particle" : "", "parse-names" : false, "suffix" : "" }, { "dropping-particle" : "", "family" : "Landon", "given" : "Bruce E.", "non-dropping-particle" : "", "parse-names" : false, "suffix" : "" }, { "dropping-particle" : "", "family" : "Day", "given" : "Matthew P.", "non-dropping-particle" : "", "parse-names" : false, "suffix" : "" }, { "dropping-particle" : "", "family" : "Chernew", "given" : "Michael E.", "non-dropping-particle" : "", "parse-names" : false, "suffix" : "" } ], "container-title" : "New England Journal of Medicine", "id" : "ITEM-1", "issue" : "18", "issued" : { "date-parts" : [ [ "2014", "10", "30" ] ] }, "page" : "1704-1714", "publisher" : "Massachusetts Medical Society", "title" : "Changes in Health Care Spending and Quality 4 Years into Global Payment", "type" : "article-journal", "volume" : "371" }, "uris" : [ "http://www.mendeley.com/documents/?uuid=33c97a0a-6a80-3300-99c4-5b4d8ea2da97" ] }, { "id" : "ITEM-2", "itemData" : { "DOI" : "10.1001/jama.2013.276302", "ISBN" : "0098-7484", "abstract" : "Importance In a multi-payer system, new payment incentives implemented by one insurer for an accountable care organization (ACO) may affect spending and quality of care for another insurer\u2019s enrollees served by the ACO. Such \u201cspillover\u201d effects reflect the extent of organizational efforts to reform care delivery and can contribute to the total impact of ACOs.  Objective We examined whether the Blue Cross Blue Shield (BCBS) of Massachusetts\u2019 Alternative Quality Contract (AQC), an early commercial ACO initiative associated with reduced spending and improved quality for BCBS enrollees, was also associated with changes in spending and quality for Medicare beneficiaries, who were not covered by the AQC.  Design and Exposure Quasi-experimental comparisons from 2007\u20132010 of Medicare beneficiaries served by 11 provider organizations entering the AQC in 2009 or 2010 (intervention group) vs. beneficiaries served by other providers (control group). Using a difference-in-differences approach, we estimated changes in spending and quality for the intervention group in the first and second years of exposure to the AQC relative to concurrent changes for the control group. Regression and propensity-score methods were used to adjust for differences in sociodemographic and clinical characteristics.  Participants and Setting Elderly fee-for-service Medicare beneficiaries in Massachusetts (1,761,325 person-years).  Main Outcome Measures The primary outcome was total quarterly medical spending per beneficiary. Secondary outcomes included spending by setting and type of service, 5 process measures of quality, potentially avoidable hospitalizations, and 30-day readmissions.  Results Before entering the AQC, total quarterly spending for the intervention group was $150 (95% CI, $25\u2013$274) higher than for the control group and rose at a similar rate. In year 2 of the intervention group\u2019s exposure to the AQC, this difference was reduced to $51 (95% CI, \u2212$109\u2013$210; P=0.53), constituting a significant differential change of \u2212$99 (95% CI, \u2212$183\u2013\u2212$16; P=0.02) or a 3.4% savings. Savings in year 1 were not significant (differential change: \u2212$34; 95% CI, \u2212$83\u2013$16; P=0.18). Year-2 savings derived largely from lower spending on outpatient care (differential change: \u2212$73; 95% CI, \u2212$95\u2013\u2212$50; P&lt;0.001), particularly for beneficiaries with \u22655 conditions, and included significant differential changes in spending on procedures, imaging, and tests. Annual rates of LDL testing differentially improve\u2026", "author" : [ { "dropping-particle" : "", "family" : "McWilliams", "given" : "J Michael", "non-dropping-particle" : "", "parse-names" : false, "suffix" : "" }, { "dropping-particle" : "", "family" : "Landon", "given" : "Bruce E", "non-dropping-particle" : "", "parse-names" : false, "suffix" : "" }, { "dropping-particle" : "", "family" : "Chernew", "given" : "Michael E", "non-dropping-particle" : "", "parse-names" : false, "suffix" : "" } ], "container-title" : "JAMA : the journal of the American Medical Association", "id" : "ITEM-2", "issue" : "8", "issued" : { "date-parts" : [ [ "2013" ] ] }, "title" : "Changes in Health Care Spending and Quality for Medicare Beneficiaries Associated with a Commercial ACO Contract", "type" : "article-journal", "volume" : "310" }, "uris" : [ "http://www.mendeley.com/documents/?uuid=74302d11-8523-41ed-b167-de883fa94c0e" ] }, { "id" : "ITEM-3", "itemData" : { "DOI" : "10.1001/jamainternmed.2015.4525", "ISSN" : "2168-6106", "author" : [ { "dropping-particle" : "", "family" : "Schwartz", "given" : "Aaron L.", "non-dropping-particle" : "", "parse-names" : false, "suffix" : "" }, { "dropping-particle" : "", "family" : "Chernew", "given" : "Michael E.", "non-dropping-particle" : "", "parse-names" : false, "suffix" : "" }, { "dropping-particle" : "", "family" : "Landon", "given" : "Bruce E.", "non-dropping-particle" : "", "parse-names" : false, "suffix" : "" }, { "dropping-particle" : "", "family" : "McWilliams", "given" : "J. Michael", "non-dropping-particle" : "", "parse-names" : false, "suffix" : "" } ], "container-title" : "JAMA Internal Medicine", "id" : "ITEM-3", "issue" : "11", "issued" : { "date-parts" : [ [ "2015" ] ] }, "page" : "1", "title" : "Changes in Low-Value Services in Year 1 of the Medicare Pioneer Accountable Care Organization Program", "type" : "article-journal", "volume" : "02115" }, "uris" : [ "http://www.mendeley.com/documents/?uuid=34eb8b28-0363-4fb8-9608-8fefb93b5874" ] }, { "id" : "ITEM-4", "itemData" : { "DOI" : "10.1056/NEJMsa1600142", "ISSN" : "0028-4793", "abstract" : "BackgroundIn the Medicare Shared Savings Program (MSSP), accountable care organizations (ACOs) have financial incentives to lower spending and improve quality. We used quasi-experimental methods to assess the early performance of MSSP ACOs. MethodsUsing Medicare claims from 2009 through 2013 and a difference-in-differences design, we compared changes in spending and in performance on quality measures from before the start of ACO contracts to after the start of the contracts between beneficiaries served by the 220 ACOs entering the MSSP in mid-2012 (2012 ACO cohort) or January 2013 (2013 ACO cohort) and those served by non-ACO providers (control group), with adjustment for geographic area and beneficiary characteristics. We analyzed the 2012 and 2013 ACO cohorts separately because entry time could reflect the capacity of an ACO to achieve savings. We compared ACO savings according to organizational structure, baseline spending, and concurrent ACO contracting with commercial insurers. ResultsAdjusted Medica...", "author" : [ { "dropping-particle" : "", "family" : "McWilliams", "given" : "J. Michael", "non-dropping-particle" : "", "parse-names" : false, "suffix" : "" }, { "dropping-particle" : "", "family" : "Hatfield", "given" : "Laura A.", "non-dropping-particle" : "", "parse-names" : false, "suffix" : "" }, { "dropping-particle" : "", "family" : "Chernew", "given" : "Michael E.", "non-dropping-particle" : "", "parse-names" : false, "suffix" : "" }, { "dropping-particle" : "", "family" : "Landon", "given" : "Bruce E.", "non-dropping-particle" : "", "parse-names" : false, "suffix" : "" }, { "dropping-particle" : "", "family" : "Schwartz", "given" : "Aaron L.", "non-dropping-particle" : "", "parse-names" : false, "suffix" : "" } ], "container-title" : "New England Journal of Medicine", "id" : "ITEM-4", "issued" : { "date-parts" : [ [ "2016", "4", "13" ] ] }, "language" : "EN", "page" : "NEJMsa1600142", "publisher" : "Massachusetts Medical Society", "title" : "Early Performance of Accountable Care Organizations in Medicare", "type" : "article-journal" }, "uris" : [ "http://www.mendeley.com/documents/?uuid=767494a8-7c15-4824-8ce9-b29d2a9ccfc5" ] }, { "id" : "ITEM-5", "itemData" : { "DOI" : "10.1056/NEJMp1201261", "ISSN" : "0028-4793", "abstract" : "Having expanded insurance coverage to 98% of its population, Massachusetts seeks to control health care costs. A new bill includes global payment arrangements, accountable care organizations, malpractice reform, and authority to strike down insurance-premium increases.", "author" : [ { "dropping-particle" : "", "family" : "Song", "given" : "Zirui", "non-dropping-particle" : "", "parse-names" : false, "suffix" : "" }, { "dropping-particle" : "", "family" : "Landon", "given" : "Bruce E.", "non-dropping-particle" : "", "parse-names" : false, "suffix" : "" } ], "container-title" : "New England Journal of Medicine", "id" : "ITEM-5", "issue" : "17", "issued" : { "date-parts" : [ [ "2012", "4", "26" ] ] }, "page" : "1560-1561", "publisher" : " Massachusetts Medical Society ", "title" : "Controlling Health Care Spending \u2014 The Massachusetts Experiment", "type" : "article-journal", "volume" : "366" }, "uris" : [ "http://www.mendeley.com/documents/?uuid=accc1a90-7cb5-31a7-9c2d-4f3f09317d83" ] }, { "id" : "ITEM-6", "itemData" : { "DOI" : "10.1056/NEJMsa1414953", "ISSN" : "0028-4793", "abstract" : "Fee-for-service payments give providers the incentive to favor volume over value in the delivery of health care and can produce fragmented care that often lacks coordination, is not patient-centered, and is not proactive in population health management.1\u20133 Although efforts to improve the delivery of care through changes in primary care (e.g., the use of patient-centered medical homes [PCMHs]) have expanded rapidly in recent years,4,5 early evidence of their effect on the quality and cost of health care is mixed.6 In October 2012, the Centers for Medicare and Medicaid Services (CMS), in collaboration with 39 private and public payers, . . .", "author" : [ { "dropping-particle" : "", "family" : "Dale", "given" : "Stacy B.", "non-dropping-particle" : "", "parse-names" : false, "suffix" : "" }, { "dropping-particle" : "", "family" : "Ghosh", "given" : "Arkadipta", "non-dropping-particle" : "", "parse-names" : false, "suffix" : "" }, { "dropping-particle" : "", "family" : "Peikes", "given" : "Deborah N.", "non-dropping-particle" : "", "parse-names" : false, "suffix" : "" }, { "dropping-particle" : "", "family" : "Day", "given" : "Timothy J.", "non-dropping-particle" : "", "parse-names" : false, "suffix" : "" }, { "dropping-particle" : "", "family" : "Yoon", "given" : "Frank B.", "non-dropping-particle" : "", "parse-names" : false, "suffix" : "" }, { "dropping-particle" : "", "family" : "Taylor", "given" : "Erin Fries", "non-dropping-particle" : "", "parse-names" : false, "suffix" : "" }, { "dropping-particle" : "", "family" : "Swankoski", "given" : "Kaylyn", "non-dropping-particle" : "", "parse-names" : false, "suffix" : "" }, { "dropping-particle" : "", "family" : "O\u2019Malley", "given" : "Ann S.", "non-dropping-particle" : "", "parse-names" : false, "suffix" : "" }, { "dropping-particle" : "", "family" : "Conway", "given" : "Patrick H.", "non-dropping-particle" : "", "parse-names" : false, "suffix" : "" }, { "dropping-particle" : "", "family" : "Rajkumar", "given" : "Rahul", "non-dropping-particle" : "", "parse-names" : false, "suffix" : "" }, { "dropping-particle" : "", "family" : "Press", "given" : "Matthew J.", "non-dropping-particle" : "", "parse-names" : false, "suffix" : "" }, { "dropping-particle" : "", "family" : "Sessums", "given" : "Laura", "non-dropping-particle" : "", "parse-names" : false, "suffix" : "" }, { "dropping-particle" : "", "family" : "Brown", "given" : "Randall", "non-dropping-particle" : "", "parse-names" : false, "suffix" : "" } ], "container-title" : "New England Journal of Medicine", "id" : "ITEM-6", "issue" : "24", "issued" : { "date-parts" : [ [ "2016", "6" ] ] }, "page" : "2345-2356", "title" : "Two-Year Costs and Quality in the Comprehensive Primary Care Initiative", "type" : "article-journal", "volume" : "374" }, "uris" : [ "http://www.mendeley.com/documents/?uuid=2b3d2150-f777-4729-85f7-a60ecae1a6bb" ] } ], "mendeley" : { "formattedCitation" : "&lt;sup&gt;16\u201321&lt;/sup&gt;", "plainTextFormattedCitation" : "16\u201321", "previouslyFormattedCitation" : "&lt;sup&gt;16\u201321&lt;/sup&gt;" }, "properties" : {  }, "schema" : "https://github.com/citation-style-language/schema/raw/master/csl-citation.json" }</w:instrText>
      </w:r>
      <w:r w:rsidR="000A4850">
        <w:rPr>
          <w:rFonts w:ascii="Times New Roman" w:hAnsi="Times New Roman"/>
        </w:rPr>
        <w:fldChar w:fldCharType="separate"/>
      </w:r>
      <w:r w:rsidR="000A4850" w:rsidRPr="000A4850">
        <w:rPr>
          <w:rFonts w:ascii="Times New Roman" w:hAnsi="Times New Roman"/>
          <w:noProof/>
          <w:vertAlign w:val="superscript"/>
        </w:rPr>
        <w:t>16–21</w:t>
      </w:r>
      <w:r w:rsidR="000A4850">
        <w:rPr>
          <w:rFonts w:ascii="Times New Roman" w:hAnsi="Times New Roman"/>
        </w:rPr>
        <w:fldChar w:fldCharType="end"/>
      </w:r>
      <w:r w:rsidR="009A29B4">
        <w:rPr>
          <w:rFonts w:ascii="Times New Roman" w:hAnsi="Times New Roman"/>
        </w:rPr>
        <w:t xml:space="preserve"> </w:t>
      </w:r>
      <w:r w:rsidR="003026FE">
        <w:rPr>
          <w:rFonts w:ascii="Times New Roman" w:hAnsi="Times New Roman"/>
        </w:rPr>
        <w:t>Some authors</w:t>
      </w:r>
      <w:r w:rsidR="008568F2">
        <w:rPr>
          <w:rFonts w:ascii="Times New Roman" w:hAnsi="Times New Roman"/>
        </w:rPr>
        <w:t xml:space="preserve"> called for large population-level metrics </w:t>
      </w:r>
      <w:r w:rsidR="003026FE">
        <w:rPr>
          <w:rFonts w:ascii="Times New Roman" w:hAnsi="Times New Roman"/>
        </w:rPr>
        <w:t>derived from</w:t>
      </w:r>
      <w:r w:rsidR="008568F2">
        <w:rPr>
          <w:rFonts w:ascii="Times New Roman" w:hAnsi="Times New Roman"/>
        </w:rPr>
        <w:t xml:space="preserve"> mortality </w:t>
      </w:r>
      <w:r w:rsidR="003026FE">
        <w:rPr>
          <w:rFonts w:ascii="Times New Roman" w:hAnsi="Times New Roman"/>
        </w:rPr>
        <w:t xml:space="preserve">statistics </w:t>
      </w:r>
      <w:r w:rsidR="008568F2">
        <w:rPr>
          <w:rFonts w:ascii="Times New Roman" w:hAnsi="Times New Roman"/>
        </w:rPr>
        <w:t>to be incorporated into such outcome assessments.</w:t>
      </w:r>
      <w:r w:rsidR="00AB754F">
        <w:rPr>
          <w:rFonts w:ascii="Times New Roman" w:hAnsi="Times New Roman"/>
        </w:rPr>
        <w:fldChar w:fldCharType="begin" w:fldLock="1"/>
      </w:r>
      <w:r w:rsidR="00AB754F">
        <w:rPr>
          <w:rFonts w:ascii="Times New Roman" w:hAnsi="Times New Roman"/>
        </w:rPr>
        <w:instrText>ADDIN CSL_CITATION { "citationItems" : [ { "id" : "ITEM-1", "itemData" : { "DOI" : "10.1370/afm.1915", "ISSN" : "1544-1717", "PMID" : "26951582", "author" : [ { "dropping-particle" : "", "family" : "Kaufman", "given" : "Arthur", "non-dropping-particle" : "", "parse-names" : false, "suffix" : "" } ], "container-title" : "Annals of family medicine", "id" : "ITEM-1", "issue" : "2", "issued" : { "date-parts" : [ [ "2016", "3", "1" ] ] }, "page" : "100-1", "publisher" : "American Academy of Family Physicians", "title" : "Theory vs Practice: Should Primary Care Practice Take on Social Determinants of Health Now? Yes.", "type" : "article-journal", "volume" : "14" }, "uris" : [ "http://www.mendeley.com/documents/?uuid=5c3429ad-a6c5-3d38-b237-30b8d6a39ee8" ] } ], "mendeley" : { "formattedCitation" : "&lt;sup&gt;22&lt;/sup&gt;", "plainTextFormattedCitation" : "22", "previouslyFormattedCitation" : "&lt;sup&gt;22&lt;/sup&gt;" }, "properties" : {  }, "schema" : "https://github.com/citation-style-language/schema/raw/master/csl-citation.json" }</w:instrText>
      </w:r>
      <w:r w:rsidR="00AB754F">
        <w:rPr>
          <w:rFonts w:ascii="Times New Roman" w:hAnsi="Times New Roman"/>
        </w:rPr>
        <w:fldChar w:fldCharType="separate"/>
      </w:r>
      <w:r w:rsidR="00AB754F" w:rsidRPr="00AB754F">
        <w:rPr>
          <w:rFonts w:ascii="Times New Roman" w:hAnsi="Times New Roman"/>
          <w:noProof/>
          <w:vertAlign w:val="superscript"/>
        </w:rPr>
        <w:t>22</w:t>
      </w:r>
      <w:r w:rsidR="00AB754F">
        <w:rPr>
          <w:rFonts w:ascii="Times New Roman" w:hAnsi="Times New Roman"/>
        </w:rPr>
        <w:fldChar w:fldCharType="end"/>
      </w:r>
      <w:r w:rsidR="008568F2">
        <w:rPr>
          <w:rFonts w:ascii="Times New Roman" w:hAnsi="Times New Roman"/>
        </w:rPr>
        <w:t xml:space="preserve"> </w:t>
      </w:r>
      <w:r w:rsidR="00EF3331">
        <w:rPr>
          <w:rFonts w:ascii="Times New Roman" w:hAnsi="Times New Roman"/>
        </w:rPr>
        <w:t>Large</w:t>
      </w:r>
      <w:r w:rsidR="007F37B9">
        <w:rPr>
          <w:rFonts w:ascii="Times New Roman" w:hAnsi="Times New Roman"/>
        </w:rPr>
        <w:t xml:space="preserve"> state and</w:t>
      </w:r>
      <w:r w:rsidR="00EF3331">
        <w:rPr>
          <w:rFonts w:ascii="Times New Roman" w:hAnsi="Times New Roman"/>
        </w:rPr>
        <w:t xml:space="preserve"> national initiatives are now expanding support for population health measures to be integrated into primary care clinics, </w:t>
      </w:r>
      <w:r w:rsidR="0036077C">
        <w:rPr>
          <w:rFonts w:ascii="Times New Roman" w:hAnsi="Times New Roman"/>
        </w:rPr>
        <w:t>and directing an increasing supply of primary care physicians to underserved regions</w:t>
      </w:r>
      <w:r w:rsidR="008E332C">
        <w:rPr>
          <w:rFonts w:ascii="Times New Roman" w:hAnsi="Times New Roman"/>
        </w:rPr>
        <w:t xml:space="preserve"> through financial incentives</w:t>
      </w:r>
      <w:r w:rsidR="00303BEC">
        <w:rPr>
          <w:rFonts w:ascii="Times New Roman" w:hAnsi="Times New Roman"/>
        </w:rPr>
        <w:t>.</w:t>
      </w:r>
      <w:r w:rsidR="000A4850">
        <w:rPr>
          <w:rFonts w:ascii="Times New Roman" w:hAnsi="Times New Roman"/>
        </w:rPr>
        <w:fldChar w:fldCharType="begin" w:fldLock="1"/>
      </w:r>
      <w:r w:rsidR="00387AB4">
        <w:rPr>
          <w:rFonts w:ascii="Times New Roman" w:hAnsi="Times New Roman"/>
        </w:rPr>
        <w:instrText>ADDIN CSL_CITATION { "citationItems" : [ { "id" : "ITEM-1", "itemData" : { "DOI" : "10.1186/1472-6963-9-86", "ISSN" : "1472-6963", "abstract" : "In many geographic regions, both in developing and in developed countries, the number of health workers is insufficient to achieve population health goals. Financial incentives for return of service are intended to alleviate health worker shortages: A (future) health worker enters into a contract to work for a number of years in an underserved area in exchange for a financial pay-off. We carried out systematic literature searches of PubMed, the Excerpta Medica database, the Cumulative Index to Nursing and Allied Health Literature, and the National Health Services Economic Evaluation Database for studies evaluating outcomes of financial-incentive programs published up to February 2009. To identify articles for review, we combined three search themes (health workers or students, underserved areas, and financial incentives). In the initial search, we identified 10,495 unique articles, 10,302 of which were excluded based on their titles or abstracts. We conducted full-text reviews of the remaining 193 articles and of 26 additional articles identified in reference lists or by colleagues. Forty-three articles were included in the final review. We extracted from these articles information on the financial-incentive programs (name, location, period of operation, objectives, target groups, definition of underserved area, financial incentives and obligation) and information on the individual studies (authors, publication dates, types of study outcomes, study design, sample criteria and sample size, data sources, outcome measures and study findings, conclusions, and methodological limitations). We reviewed program results (descriptions of recruitment, retention, and participant satisfaction), program effects (effectiveness in influencing health workers to provide care, to remain, and to be satisfied with work and personal life in underserved areas), and program impacts (effectiveness in influencing health systems and health outcomes). Of the 43 reviewed studies 34 investigated financial-incentive programs in the US. The remaining studies evaluated programs in Japan (five studies), Canada (two), New Zealand (one) and South Africa (one). The programs started between 1930 and 1998. We identified five different types of programs (service-requiring scholarships, educational loans with service requirements, service-option educational loans, loan repayment programs, and direct financial incentives). Financial incentives to serve for one year in an underserved area ranged\u2026", "author" : [ { "dropping-particle" : "", "family" : "B\u00e4rnighausen", "given" : "Till", "non-dropping-particle" : "", "parse-names" : false, "suffix" : "" }, { "dropping-particle" : "", "family" : "Bloom", "given" : "David E", "non-dropping-particle" : "", "parse-names" : false, "suffix" : "" } ], "container-title" : "BMC Health Services Research", "id" : "ITEM-1", "issue" : "1", "issued" : { "date-parts" : [ [ "2009", "12", "29" ] ] }, "page" : "86", "publisher" : "BioMed Central", "title" : "Financial incentives for return of service in underserved areas: a systematic review", "type" : "article-journal", "volume" : "9" }, "uris" : [ "http://www.mendeley.com/documents/?uuid=2b54b607-b261-3ed6-a809-ab04788a5af2" ] }, { "id" : "ITEM-2", "itemData" : { "DOI" : "10.1370/afm.1915", "ISSN" : "1544-1717", "PMID" : "26951582", "author" : [ { "dropping-particle" : "", "family" : "Kaufman", "given" : "Arthur", "non-dropping-particle" : "", "parse-names" : false, "suffix" : "" } ], "container-title" : "Annals of family medicine", "id" : "ITEM-2", "issue" : "2", "issued" : { "date-parts" : [ [ "2016", "3", "1" ] ] }, "page" : "100-1", "publisher" : "American Academy of Family Physicians", "title" : "Theory vs Practice: Should Primary Care Practice Take on Social Determinants of Health Now? Yes.", "type" : "article-journal", "volume" : "14" }, "uris" : [ "http://www.mendeley.com/documents/?uuid=5c3429ad-a6c5-3d38-b237-30b8d6a39ee8" ] }, { "id" : "ITEM-3", "itemData" : { "DOI" : "10.1001/jamainternmed.2016.7691", "ISSN" : "2168-6106", "abstract" : "&lt;h3&gt;Importance&lt;/h3&gt;&lt;p&gt;It is unclear if helping patients meet resource needs, such as difficulty affording food, housing, or medications, improves clinical outcomes.&lt;/p&gt;&lt;h3&gt;Objective&lt;/h3&gt;&lt;p&gt;To determine the effectiveness of the Health Leads program on improvement in systolic and diastolic blood pressure (SBP and DBP, respectively), low-density lipoprotein cholesterol (LDL-C) level, and hemoglobin A&lt;sub&gt;1c&lt;/sub&gt;(HbA&lt;sub&gt;1c&lt;/sub&gt;) level.&lt;/p&gt;&lt;h3&gt;Design, Setting, and Participants&lt;/h3&gt;&lt;p&gt;A difference-in-difference evaluation of the Health Leads program was conducted from October 1, 2012, through September 30, 2015, at 3 academic primary care practices. Health Leads consists of screening for unmet needs at clinic visits, and offering those who screen positive to meet with an advocate to help obtain resources, or receive brief information provision.&lt;/p&gt;&lt;h3&gt;Main Outcomes and Measures&lt;/h3&gt;&lt;p&gt;Changes in SBP, DBP, LDL-C level, and HbA&lt;sub&gt;1c&lt;/sub&gt;level. We compared those who screened positive for unmet basic needs (Health Leads group) with those who screened negative, using intention-to-treat, and, secondarily, between those who did and did not enroll in Health Leads, using linear mixed modeling, examining the period before and after screening.&lt;/p&gt;&lt;h3&gt;Results&lt;/h3&gt;&lt;p&gt;A total of 5125 people were screened, using a standardized form, for unmet basic resource needs; 3351 screened negative and 1774 screened positive. For those who screened positive, the mean age was 57.6 years and 1811 (56%) were women. For those who screened negative, the mean age was 56.7 years and 909 (57%) were women. Of 5125 people screened, 1774 (35%) reported at least 1 unmet need, and 1021 (58%) of those enrolled in Health Leads. Median follow-up for those who screened positive and negative was 34 and 32 months, respectively. In unadjusted intention-to-treat analyses of 1998 participants with hypertension, the Health Leads group experienced greater reduction in SBP (differential change, \u22121.2; 95% CI, \u22122.1 to \u22120.4) and DBP (differential change, \u22121.0; 95% CI, \u22121.5 to \u22120.5). For 2281 individuals with an indication for LDL-C level lowering, results also favored the Health Leads group (differential change, \u22123.7; 95% CI \u22126.7 to \u22120.6). For 774 individuals with diabetes, the Health Leads group did not show HbA&lt;sub&gt;1c&lt;/sub&gt;level improvement (differential change, \u22120.04%; 95% CI, \u22120.17% to 0.10%). Results adjusted for baseline demographic and clinical differences were not qualitatively different. Among thos\u2026", "author" : [ { "dropping-particle" : "", "family" : "Berkowitz", "given" : "Seth A.", "non-dropping-particle" : "", "parse-names" : false, "suffix" : "" }, { "dropping-particle" : "", "family" : "Hulberg", "given" : "Amy Catherine", "non-dropping-particle" : "", "parse-names" : false, "suffix" : "" }, { "dropping-particle" : "", "family" : "Standish", "given" : "Sara", "non-dropping-particle" : "", "parse-names" : false, "suffix" : "" }, { "dropping-particle" : "", "family" : "Reznor", "given" : "Gally", "non-dropping-particle" : "", "parse-names" : false, "suffix" : "" }, { "dropping-particle" : "", "family" : "Atlas", "given" : "Steven J.", "non-dropping-particle" : "", "parse-names" : false, "suffix" : "" } ], "container-title" : "JAMA Internal Medicine", "id" : "ITEM-3", "issue" : "2", "issued" : { "date-parts" : [ [ "2017", "2", "1" ] ] }, "page" : "244", "publisher" : "American Medical Association", "title" : "Addressing Unmet Basic Resource Needs as Part of Chronic Cardiometabolic Disease Management", "type" : "article-journal", "volume" : "177" }, "uris" : [ "http://www.mendeley.com/documents/?uuid=5d92ae41-446a-3c75-ba5e-5bd3399d2364" ] } ], "mendeley" : { "formattedCitation" : "&lt;sup&gt;22\u201324&lt;/sup&gt;", "plainTextFormattedCitation" : "22\u201324", "previouslyFormattedCitation" : "&lt;sup&gt;22\u201324&lt;/sup&gt;" }, "properties" : {  }, "schema" : "https://github.com/citation-style-language/schema/raw/master/csl-citation.json" }</w:instrText>
      </w:r>
      <w:r w:rsidR="000A4850">
        <w:rPr>
          <w:rFonts w:ascii="Times New Roman" w:hAnsi="Times New Roman"/>
        </w:rPr>
        <w:fldChar w:fldCharType="separate"/>
      </w:r>
      <w:r w:rsidR="00387AB4" w:rsidRPr="00387AB4">
        <w:rPr>
          <w:rFonts w:ascii="Times New Roman" w:hAnsi="Times New Roman"/>
          <w:noProof/>
          <w:vertAlign w:val="superscript"/>
        </w:rPr>
        <w:t>22–24</w:t>
      </w:r>
      <w:r w:rsidR="000A4850">
        <w:rPr>
          <w:rFonts w:ascii="Times New Roman" w:hAnsi="Times New Roman"/>
        </w:rPr>
        <w:fldChar w:fldCharType="end"/>
      </w:r>
      <w:r w:rsidR="004801D4">
        <w:rPr>
          <w:rFonts w:ascii="Times New Roman" w:hAnsi="Times New Roman"/>
        </w:rPr>
        <w:t xml:space="preserve"> </w:t>
      </w:r>
    </w:p>
    <w:p w14:paraId="4099458A" w14:textId="5C89E250" w:rsidR="00AF4F5D" w:rsidRDefault="00E60031" w:rsidP="00CD07A8">
      <w:pPr>
        <w:spacing w:line="360" w:lineRule="auto"/>
        <w:ind w:firstLine="720"/>
        <w:rPr>
          <w:rFonts w:ascii="Times New Roman" w:hAnsi="Times New Roman"/>
        </w:rPr>
      </w:pPr>
      <w:r>
        <w:rPr>
          <w:rFonts w:ascii="Times New Roman" w:hAnsi="Times New Roman"/>
        </w:rPr>
        <w:t>How</w:t>
      </w:r>
      <w:r w:rsidR="00BC4311">
        <w:rPr>
          <w:rFonts w:ascii="Times New Roman" w:hAnsi="Times New Roman"/>
        </w:rPr>
        <w:t xml:space="preserve"> primary care </w:t>
      </w:r>
      <w:r w:rsidR="00100A6A">
        <w:rPr>
          <w:rFonts w:ascii="Times New Roman" w:hAnsi="Times New Roman"/>
        </w:rPr>
        <w:t xml:space="preserve">physician </w:t>
      </w:r>
      <w:r w:rsidR="00BC4311">
        <w:rPr>
          <w:rFonts w:ascii="Times New Roman" w:hAnsi="Times New Roman"/>
        </w:rPr>
        <w:t>supply has changed over the last decade in the United States</w:t>
      </w:r>
      <w:r w:rsidR="00142BB3">
        <w:rPr>
          <w:rFonts w:ascii="Times New Roman" w:hAnsi="Times New Roman"/>
        </w:rPr>
        <w:t xml:space="preserve"> </w:t>
      </w:r>
      <w:r w:rsidR="00BC4311">
        <w:rPr>
          <w:rFonts w:ascii="Times New Roman" w:hAnsi="Times New Roman"/>
        </w:rPr>
        <w:t xml:space="preserve">remains unclear. It also remains unclear to what extent changes </w:t>
      </w:r>
      <w:r w:rsidR="00100A6A">
        <w:rPr>
          <w:rFonts w:ascii="Times New Roman" w:hAnsi="Times New Roman"/>
        </w:rPr>
        <w:t xml:space="preserve">in primary care physician supply </w:t>
      </w:r>
      <w:r w:rsidR="00BC4311">
        <w:rPr>
          <w:rFonts w:ascii="Times New Roman" w:hAnsi="Times New Roman"/>
        </w:rPr>
        <w:t xml:space="preserve">can </w:t>
      </w:r>
      <w:r w:rsidR="00134E6D">
        <w:rPr>
          <w:rFonts w:ascii="Times New Roman" w:hAnsi="Times New Roman"/>
        </w:rPr>
        <w:t xml:space="preserve">help to </w:t>
      </w:r>
      <w:r w:rsidR="00BC4311">
        <w:rPr>
          <w:rFonts w:ascii="Times New Roman" w:hAnsi="Times New Roman"/>
        </w:rPr>
        <w:t xml:space="preserve">explain </w:t>
      </w:r>
      <w:r w:rsidR="008C71FC">
        <w:rPr>
          <w:rFonts w:ascii="Times New Roman" w:hAnsi="Times New Roman"/>
        </w:rPr>
        <w:t>recent</w:t>
      </w:r>
      <w:r w:rsidR="00BC4311">
        <w:rPr>
          <w:rFonts w:ascii="Times New Roman" w:hAnsi="Times New Roman"/>
        </w:rPr>
        <w:t xml:space="preserve"> temporal and geographic variations in mortality across the United States. Addressing these uncertainties is critical to identify whether existing primary care initiatives are related to population health, and </w:t>
      </w:r>
      <w:r w:rsidR="008E0BE5">
        <w:rPr>
          <w:rFonts w:ascii="Times New Roman" w:hAnsi="Times New Roman"/>
        </w:rPr>
        <w:t>wh</w:t>
      </w:r>
      <w:r w:rsidR="0036077C">
        <w:rPr>
          <w:rFonts w:ascii="Times New Roman" w:hAnsi="Times New Roman"/>
        </w:rPr>
        <w:t xml:space="preserve">ether further efforts to expand </w:t>
      </w:r>
      <w:r w:rsidR="006A1F4A">
        <w:rPr>
          <w:rFonts w:ascii="Times New Roman" w:hAnsi="Times New Roman"/>
        </w:rPr>
        <w:t xml:space="preserve">primary care physician supply have the potential to produce measurable </w:t>
      </w:r>
      <w:r w:rsidR="00236D63">
        <w:rPr>
          <w:rFonts w:ascii="Times New Roman" w:hAnsi="Times New Roman"/>
        </w:rPr>
        <w:t>population health improvements.</w:t>
      </w:r>
      <w:r w:rsidR="00A20DEB">
        <w:rPr>
          <w:rFonts w:ascii="Times New Roman" w:hAnsi="Times New Roman"/>
        </w:rPr>
        <w:t xml:space="preserve"> Here, we </w:t>
      </w:r>
      <w:r w:rsidR="00CD07A8">
        <w:rPr>
          <w:rFonts w:ascii="Times New Roman" w:hAnsi="Times New Roman"/>
        </w:rPr>
        <w:t xml:space="preserve">sought to assess temporal and geospatial </w:t>
      </w:r>
      <w:r w:rsidR="003853AF">
        <w:rPr>
          <w:rFonts w:ascii="Times New Roman" w:hAnsi="Times New Roman"/>
        </w:rPr>
        <w:t>variations</w:t>
      </w:r>
      <w:r w:rsidR="00CD07A8">
        <w:rPr>
          <w:rFonts w:ascii="Times New Roman" w:hAnsi="Times New Roman"/>
        </w:rPr>
        <w:t xml:space="preserve"> in primary care physician </w:t>
      </w:r>
      <w:proofErr w:type="gramStart"/>
      <w:r w:rsidR="00CD07A8">
        <w:rPr>
          <w:rFonts w:ascii="Times New Roman" w:hAnsi="Times New Roman"/>
        </w:rPr>
        <w:t>density, and</w:t>
      </w:r>
      <w:proofErr w:type="gramEnd"/>
      <w:r w:rsidR="00CD07A8">
        <w:rPr>
          <w:rFonts w:ascii="Times New Roman" w:hAnsi="Times New Roman"/>
        </w:rPr>
        <w:t xml:space="preserve"> </w:t>
      </w:r>
      <w:r w:rsidR="005308B7">
        <w:rPr>
          <w:rFonts w:ascii="Times New Roman" w:hAnsi="Times New Roman"/>
        </w:rPr>
        <w:t xml:space="preserve">test the </w:t>
      </w:r>
      <w:r w:rsidR="005308B7">
        <w:rPr>
          <w:rFonts w:ascii="Times New Roman" w:hAnsi="Times New Roman"/>
          <w:i/>
        </w:rPr>
        <w:t>a priori</w:t>
      </w:r>
      <w:r w:rsidR="005308B7">
        <w:rPr>
          <w:rFonts w:ascii="Times New Roman" w:hAnsi="Times New Roman"/>
        </w:rPr>
        <w:t xml:space="preserve"> </w:t>
      </w:r>
      <w:r w:rsidR="00363E20">
        <w:rPr>
          <w:rFonts w:ascii="Times New Roman" w:hAnsi="Times New Roman"/>
        </w:rPr>
        <w:t xml:space="preserve">null </w:t>
      </w:r>
      <w:r w:rsidR="005308B7">
        <w:rPr>
          <w:rFonts w:ascii="Times New Roman" w:hAnsi="Times New Roman"/>
        </w:rPr>
        <w:t xml:space="preserve">hypothesis that </w:t>
      </w:r>
      <w:r w:rsidR="00CD07A8">
        <w:rPr>
          <w:rFonts w:ascii="Times New Roman" w:hAnsi="Times New Roman"/>
        </w:rPr>
        <w:t xml:space="preserve">those variations </w:t>
      </w:r>
      <w:r w:rsidR="00363E20">
        <w:rPr>
          <w:rFonts w:ascii="Times New Roman" w:hAnsi="Times New Roman"/>
        </w:rPr>
        <w:t xml:space="preserve">do not significantly </w:t>
      </w:r>
      <w:r w:rsidR="00CD07A8">
        <w:rPr>
          <w:rFonts w:ascii="Times New Roman" w:hAnsi="Times New Roman"/>
        </w:rPr>
        <w:t xml:space="preserve">relate to </w:t>
      </w:r>
      <w:r w:rsidR="00542417">
        <w:rPr>
          <w:rFonts w:ascii="Times New Roman" w:hAnsi="Times New Roman"/>
        </w:rPr>
        <w:t xml:space="preserve">variations </w:t>
      </w:r>
      <w:r w:rsidR="00CD07A8">
        <w:rPr>
          <w:rFonts w:ascii="Times New Roman" w:hAnsi="Times New Roman"/>
        </w:rPr>
        <w:t>in life expectancy and cause-specific mortality among U.S. counties</w:t>
      </w:r>
      <w:r w:rsidR="00A20DEB">
        <w:rPr>
          <w:rFonts w:ascii="Times New Roman" w:hAnsi="Times New Roman"/>
        </w:rPr>
        <w:t xml:space="preserve"> from 2005 through 2015.</w:t>
      </w:r>
    </w:p>
    <w:p w14:paraId="56BF0BAB" w14:textId="77777777" w:rsidR="00EB1580" w:rsidRPr="004C2EB7" w:rsidRDefault="00EB1580" w:rsidP="00EB1580">
      <w:pPr>
        <w:spacing w:line="360" w:lineRule="auto"/>
        <w:rPr>
          <w:rFonts w:ascii="Times New Roman" w:hAnsi="Times New Roman"/>
          <w:b/>
        </w:rPr>
      </w:pPr>
      <w:r w:rsidRPr="004C2EB7">
        <w:rPr>
          <w:rFonts w:ascii="Times New Roman" w:hAnsi="Times New Roman"/>
        </w:rPr>
        <w:br w:type="column"/>
      </w:r>
      <w:r w:rsidRPr="004C2EB7">
        <w:rPr>
          <w:rFonts w:ascii="Times New Roman" w:hAnsi="Times New Roman"/>
          <w:b/>
        </w:rPr>
        <w:lastRenderedPageBreak/>
        <w:t>Methods</w:t>
      </w:r>
    </w:p>
    <w:p w14:paraId="4520894E" w14:textId="032EFFCD" w:rsidR="00EB1580" w:rsidRDefault="00735123" w:rsidP="00EB1580">
      <w:pPr>
        <w:spacing w:line="360" w:lineRule="auto"/>
        <w:rPr>
          <w:rFonts w:ascii="Times New Roman" w:hAnsi="Times New Roman"/>
          <w:i/>
        </w:rPr>
      </w:pPr>
      <w:r>
        <w:rPr>
          <w:rFonts w:ascii="Times New Roman" w:hAnsi="Times New Roman"/>
          <w:i/>
        </w:rPr>
        <w:t>Independent variable</w:t>
      </w:r>
      <w:r w:rsidR="00104569">
        <w:rPr>
          <w:rFonts w:ascii="Times New Roman" w:hAnsi="Times New Roman"/>
          <w:i/>
        </w:rPr>
        <w:t xml:space="preserve"> </w:t>
      </w:r>
      <w:r w:rsidR="00745CDA">
        <w:rPr>
          <w:rFonts w:ascii="Times New Roman" w:hAnsi="Times New Roman"/>
          <w:i/>
        </w:rPr>
        <w:t>of interest</w:t>
      </w:r>
    </w:p>
    <w:p w14:paraId="0D44A19F" w14:textId="37403C2C" w:rsidR="00011BED" w:rsidRDefault="00EA0EC7" w:rsidP="00011BED">
      <w:pPr>
        <w:spacing w:line="360" w:lineRule="auto"/>
        <w:rPr>
          <w:rFonts w:ascii="Times New Roman" w:hAnsi="Times New Roman"/>
        </w:rPr>
      </w:pPr>
      <w:r>
        <w:rPr>
          <w:rFonts w:ascii="Times New Roman" w:hAnsi="Times New Roman"/>
        </w:rPr>
        <w:tab/>
        <w:t>Primary care physician density was defined, consistent with prior work</w:t>
      </w:r>
      <w:r w:rsidR="00C55365">
        <w:rPr>
          <w:rFonts w:ascii="Times New Roman" w:hAnsi="Times New Roman"/>
        </w:rPr>
        <w:t>,</w:t>
      </w:r>
      <w:r w:rsidR="00C55365">
        <w:rPr>
          <w:rFonts w:ascii="Times New Roman" w:hAnsi="Times New Roman"/>
        </w:rPr>
        <w:fldChar w:fldCharType="begin" w:fldLock="1"/>
      </w:r>
      <w:r w:rsidR="00C55365">
        <w:rPr>
          <w:rFonts w:ascii="Times New Roman" w:hAnsi="Times New Roman"/>
        </w:rPr>
        <w:instrText>ADDIN CSL_CITATION { "citationItems" : [ { "id" : "ITEM-1", "itemData" : { "DOI" : "10.1111/j.1468-0009.2005.00409.x", "ISSN" : "0887-378X", "PMID" : "16202000", "abstract" : "Evidence of the health-promoting influence of primary care has been accumulating ever since researchers have been able to distinguish primary care from other aspects of the health services delivery system. This evidence shows that primary care helps prevent illness and death, regardless of whether the care is characterized by supply of primary care physicians, a relationship with a source of primary care, or the receipt of important features of primary care. The evidence also shows that primary care (in contrast to specialty care) is associated with a more equitable distribution of health in populations, a finding that holds in both cross-national and within-national studies. The means by which primary care improves health have been identified, thus suggesting ways to improve overall health and reduce differences in health across major population subgroups.", "author" : [ { "dropping-particle" : "", "family" : "Starfield", "given" : "Barbara", "non-dropping-particle" : "", "parse-names" : false, "suffix" : "" }, { "dropping-particle" : "", "family" : "Shi", "given" : "Leiyu", "non-dropping-particle" : "", "parse-names" : false, "suffix" : "" }, { "dropping-particle" : "", "family" : "Macinko", "given" : "James", "non-dropping-particle" : "", "parse-names" : false, "suffix" : "" } ], "container-title" : "The Milbank quarterly", "id" : "ITEM-1", "issue" : "3", "issued" : { "date-parts" : [ [ "2005", "1" ] ] }, "page" : "457-502", "title" : "Contribution of primary care to health systems and health.", "type" : "article-journal", "volume" : "83" }, "uris" : [ "http://www.mendeley.com/documents/?uuid=a1e5b22c-7188-49c2-852f-4880e3351402" ] } ], "mendeley" : { "formattedCitation" : "&lt;sup&gt;25&lt;/sup&gt;", "plainTextFormattedCitation" : "25", "previouslyFormattedCitation" : "&lt;sup&gt;25&lt;/sup&gt;" }, "properties" : {  }, "schema" : "https://github.com/citation-style-language/schema/raw/master/csl-citation.json" }</w:instrText>
      </w:r>
      <w:r w:rsidR="00C55365">
        <w:rPr>
          <w:rFonts w:ascii="Times New Roman" w:hAnsi="Times New Roman"/>
        </w:rPr>
        <w:fldChar w:fldCharType="separate"/>
      </w:r>
      <w:r w:rsidR="00C55365" w:rsidRPr="00C55365">
        <w:rPr>
          <w:rFonts w:ascii="Times New Roman" w:hAnsi="Times New Roman"/>
          <w:noProof/>
          <w:vertAlign w:val="superscript"/>
        </w:rPr>
        <w:t>25</w:t>
      </w:r>
      <w:r w:rsidR="00C55365">
        <w:rPr>
          <w:rFonts w:ascii="Times New Roman" w:hAnsi="Times New Roman"/>
        </w:rPr>
        <w:fldChar w:fldCharType="end"/>
      </w:r>
      <w:r>
        <w:rPr>
          <w:rFonts w:ascii="Times New Roman" w:hAnsi="Times New Roman"/>
        </w:rPr>
        <w:t xml:space="preserve"> as </w:t>
      </w:r>
      <w:r w:rsidR="00010BE1">
        <w:rPr>
          <w:rFonts w:ascii="Times New Roman" w:hAnsi="Times New Roman"/>
        </w:rPr>
        <w:t xml:space="preserve">non-federally-employed doctors of medicine </w:t>
      </w:r>
      <w:r w:rsidR="003A298E">
        <w:rPr>
          <w:rFonts w:ascii="Times New Roman" w:hAnsi="Times New Roman"/>
        </w:rPr>
        <w:t>less than 75 years of age who self-reported</w:t>
      </w:r>
      <w:r w:rsidR="00010BE1">
        <w:rPr>
          <w:rFonts w:ascii="Times New Roman" w:hAnsi="Times New Roman"/>
        </w:rPr>
        <w:t xml:space="preserve"> their specialty as general practice, </w:t>
      </w:r>
      <w:r w:rsidR="00775C2C">
        <w:rPr>
          <w:rFonts w:ascii="Times New Roman" w:hAnsi="Times New Roman"/>
        </w:rPr>
        <w:t xml:space="preserve">general </w:t>
      </w:r>
      <w:r w:rsidR="00010BE1">
        <w:rPr>
          <w:rFonts w:ascii="Times New Roman" w:hAnsi="Times New Roman"/>
        </w:rPr>
        <w:t>family medicine, or general internal medicine</w:t>
      </w:r>
      <w:r w:rsidR="0027238D">
        <w:rPr>
          <w:rFonts w:ascii="Times New Roman" w:hAnsi="Times New Roman"/>
        </w:rPr>
        <w:t xml:space="preserve">, </w:t>
      </w:r>
      <w:r w:rsidR="006243D3">
        <w:rPr>
          <w:rFonts w:ascii="Times New Roman" w:hAnsi="Times New Roman"/>
        </w:rPr>
        <w:t>with</w:t>
      </w:r>
      <w:r w:rsidR="004C1DDC">
        <w:rPr>
          <w:rFonts w:ascii="Times New Roman" w:hAnsi="Times New Roman"/>
        </w:rPr>
        <w:t xml:space="preserve"> their principal activity as </w:t>
      </w:r>
      <w:r w:rsidR="001C7EF8">
        <w:rPr>
          <w:rFonts w:ascii="Times New Roman" w:hAnsi="Times New Roman"/>
        </w:rPr>
        <w:t xml:space="preserve">office-based </w:t>
      </w:r>
      <w:r w:rsidR="004C1DDC">
        <w:rPr>
          <w:rFonts w:ascii="Times New Roman" w:hAnsi="Times New Roman"/>
        </w:rPr>
        <w:t xml:space="preserve">patient care, </w:t>
      </w:r>
      <w:r w:rsidR="0027238D">
        <w:rPr>
          <w:rFonts w:ascii="Times New Roman" w:hAnsi="Times New Roman"/>
        </w:rPr>
        <w:t xml:space="preserve">per 10,000 population in each US county within the 50 contiguous </w:t>
      </w:r>
      <w:r w:rsidR="00113737">
        <w:rPr>
          <w:rFonts w:ascii="Times New Roman" w:hAnsi="Times New Roman"/>
        </w:rPr>
        <w:t>states</w:t>
      </w:r>
      <w:r w:rsidR="0027238D">
        <w:rPr>
          <w:rFonts w:ascii="Times New Roman" w:hAnsi="Times New Roman"/>
        </w:rPr>
        <w:t>, Alaska, Hawaii, or the District of Columbia</w:t>
      </w:r>
      <w:r w:rsidR="00D60806">
        <w:rPr>
          <w:rFonts w:ascii="Times New Roman" w:hAnsi="Times New Roman"/>
        </w:rPr>
        <w:t xml:space="preserve"> (</w:t>
      </w:r>
      <w:r w:rsidR="00D60806" w:rsidRPr="006330ED">
        <w:rPr>
          <w:rFonts w:ascii="Times New Roman" w:hAnsi="Times New Roman"/>
          <w:i/>
        </w:rPr>
        <w:t>N</w:t>
      </w:r>
      <w:r w:rsidR="00D60806">
        <w:rPr>
          <w:rFonts w:ascii="Times New Roman" w:hAnsi="Times New Roman"/>
        </w:rPr>
        <w:t xml:space="preserve"> = </w:t>
      </w:r>
      <w:r w:rsidR="009809A2">
        <w:rPr>
          <w:rFonts w:ascii="Times New Roman" w:hAnsi="Times New Roman"/>
        </w:rPr>
        <w:t>3,142</w:t>
      </w:r>
      <w:r w:rsidR="00C07C89">
        <w:rPr>
          <w:rFonts w:ascii="Times New Roman" w:hAnsi="Times New Roman"/>
        </w:rPr>
        <w:t xml:space="preserve"> counties</w:t>
      </w:r>
      <w:r w:rsidR="009809A2">
        <w:rPr>
          <w:rFonts w:ascii="Times New Roman" w:hAnsi="Times New Roman"/>
        </w:rPr>
        <w:t>)</w:t>
      </w:r>
      <w:r w:rsidR="00010BE1">
        <w:rPr>
          <w:rFonts w:ascii="Times New Roman" w:hAnsi="Times New Roman"/>
        </w:rPr>
        <w:t>.</w:t>
      </w:r>
      <w:r w:rsidR="00923CFE">
        <w:rPr>
          <w:rFonts w:ascii="Times New Roman" w:hAnsi="Times New Roman"/>
        </w:rPr>
        <w:t xml:space="preserve"> Primary care physician </w:t>
      </w:r>
      <w:r w:rsidR="00FE472C">
        <w:rPr>
          <w:rFonts w:ascii="Times New Roman" w:hAnsi="Times New Roman"/>
        </w:rPr>
        <w:t>numbers</w:t>
      </w:r>
      <w:r w:rsidR="00923CFE">
        <w:rPr>
          <w:rFonts w:ascii="Times New Roman" w:hAnsi="Times New Roman"/>
        </w:rPr>
        <w:t xml:space="preserve"> </w:t>
      </w:r>
      <w:r w:rsidR="00FE472C">
        <w:rPr>
          <w:rFonts w:ascii="Times New Roman" w:hAnsi="Times New Roman"/>
        </w:rPr>
        <w:t>were</w:t>
      </w:r>
      <w:r w:rsidR="00923CFE">
        <w:rPr>
          <w:rFonts w:ascii="Times New Roman" w:hAnsi="Times New Roman"/>
        </w:rPr>
        <w:t xml:space="preserve"> obtained from the American Medical Association Physician Masterfile</w:t>
      </w:r>
      <w:r w:rsidR="00140ECC">
        <w:rPr>
          <w:rFonts w:ascii="Times New Roman" w:hAnsi="Times New Roman"/>
        </w:rPr>
        <w:t xml:space="preserve"> for</w:t>
      </w:r>
      <w:r w:rsidR="00EE35A5">
        <w:rPr>
          <w:rFonts w:ascii="Times New Roman" w:hAnsi="Times New Roman"/>
        </w:rPr>
        <w:t xml:space="preserve"> the</w:t>
      </w:r>
      <w:r w:rsidR="00140ECC">
        <w:rPr>
          <w:rFonts w:ascii="Times New Roman" w:hAnsi="Times New Roman"/>
        </w:rPr>
        <w:t xml:space="preserve"> years 2005, 2010, and 2015</w:t>
      </w:r>
      <w:r w:rsidR="00FE472C">
        <w:rPr>
          <w:rFonts w:ascii="Times New Roman" w:hAnsi="Times New Roman"/>
        </w:rPr>
        <w:t>,</w:t>
      </w:r>
      <w:r w:rsidR="006F25B7">
        <w:rPr>
          <w:rFonts w:ascii="Times New Roman" w:hAnsi="Times New Roman"/>
        </w:rPr>
        <w:fldChar w:fldCharType="begin" w:fldLock="1"/>
      </w:r>
      <w:r w:rsidR="006F25B7">
        <w:rPr>
          <w:rFonts w:ascii="Times New Roman" w:hAnsi="Times New Roman"/>
        </w:rPr>
        <w:instrText>ADDIN CSL_CITATION { "citationItems" : [ { "id" : "ITEM-1", "itemData" : { "URL" : "https://www.cdc.gov/nchs/data_access/urban_rural.htm", "accessed" : { "date-parts" : [ [ "2018", "4", "2" ] ] }, "author" : [ { "dropping-particle" : "", "family" : "CDC/National Center for Health Statistics", "given" : "", "non-dropping-particle" : "", "parse-names" : false, "suffix" : "" } ], "container-title" : "U.S. Department of Health and Human Services", "id" : "ITEM-1", "issued" : { "date-parts" : [ [ "2017" ] ] }, "title" : "Urban Rural Classification Scheme for Counties", "type" : "webpage" }, "uris" : [ "http://www.mendeley.com/documents/?uuid=ecdc3ee8-d4f5-31de-90c9-59214c2c6a4c" ] } ], "mendeley" : { "formattedCitation" : "&lt;sup&gt;26&lt;/sup&gt;", "plainTextFormattedCitation" : "26", "previouslyFormattedCitation" : "&lt;sup&gt;26&lt;/sup&gt;" }, "properties" : {  }, "schema" : "https://github.com/citation-style-language/schema/raw/master/csl-citation.json" }</w:instrText>
      </w:r>
      <w:r w:rsidR="006F25B7">
        <w:rPr>
          <w:rFonts w:ascii="Times New Roman" w:hAnsi="Times New Roman"/>
        </w:rPr>
        <w:fldChar w:fldCharType="separate"/>
      </w:r>
      <w:r w:rsidR="006F25B7" w:rsidRPr="006F25B7">
        <w:rPr>
          <w:rFonts w:ascii="Times New Roman" w:hAnsi="Times New Roman"/>
          <w:noProof/>
          <w:vertAlign w:val="superscript"/>
        </w:rPr>
        <w:t>26</w:t>
      </w:r>
      <w:r w:rsidR="006F25B7">
        <w:rPr>
          <w:rFonts w:ascii="Times New Roman" w:hAnsi="Times New Roman"/>
        </w:rPr>
        <w:fldChar w:fldCharType="end"/>
      </w:r>
      <w:r w:rsidR="00FE472C">
        <w:rPr>
          <w:rFonts w:ascii="Times New Roman" w:hAnsi="Times New Roman"/>
        </w:rPr>
        <w:t xml:space="preserve"> and </w:t>
      </w:r>
      <w:r w:rsidR="00FE472C" w:rsidRPr="00011BED">
        <w:rPr>
          <w:rFonts w:ascii="Times New Roman" w:hAnsi="Times New Roman"/>
        </w:rPr>
        <w:t>population counts from the US Census Bureau</w:t>
      </w:r>
      <w:r w:rsidR="00923CFE">
        <w:rPr>
          <w:rFonts w:ascii="Times New Roman" w:hAnsi="Times New Roman"/>
        </w:rPr>
        <w:t>.</w:t>
      </w:r>
      <w:r w:rsidR="009460B4">
        <w:rPr>
          <w:rFonts w:ascii="Times New Roman" w:hAnsi="Times New Roman"/>
        </w:rPr>
        <w:fldChar w:fldCharType="begin" w:fldLock="1"/>
      </w:r>
      <w:r w:rsidR="009460B4">
        <w:rPr>
          <w:rFonts w:ascii="Times New Roman" w:hAnsi="Times New Roman"/>
        </w:rPr>
        <w:instrText>ADDIN CSL_CITATION { "citationItems" : [ { "id" : "ITEM-1", "itemData" : { "URL" : "https://www.cdc.gov/nchs/data_access/urban_rural.htm", "accessed" : { "date-parts" : [ [ "2018", "4", "2" ] ] }, "author" : [ { "dropping-particle" : "", "family" : "CDC/National Center for Health Statistics", "given" : "", "non-dropping-particle" : "", "parse-names" : false, "suffix" : "" } ], "container-title" : "U.S. Department of Health and Human Services", "id" : "ITEM-1", "issued" : { "date-parts" : [ [ "2017" ] ] }, "title" : "Urban Rural Classification Scheme for Counties", "type" : "webpage" }, "uris" : [ "http://www.mendeley.com/documents/?uuid=ecdc3ee8-d4f5-31de-90c9-59214c2c6a4c" ] } ], "mendeley" : { "formattedCitation" : "&lt;sup&gt;26&lt;/sup&gt;", "plainTextFormattedCitation" : "26", "previouslyFormattedCitation" : "&lt;sup&gt;26&lt;/sup&gt;" }, "properties" : {  }, "schema" : "https://github.com/citation-style-language/schema/raw/master/csl-citation.json" }</w:instrText>
      </w:r>
      <w:r w:rsidR="009460B4">
        <w:rPr>
          <w:rFonts w:ascii="Times New Roman" w:hAnsi="Times New Roman"/>
        </w:rPr>
        <w:fldChar w:fldCharType="separate"/>
      </w:r>
      <w:r w:rsidR="009460B4" w:rsidRPr="009460B4">
        <w:rPr>
          <w:rFonts w:ascii="Times New Roman" w:hAnsi="Times New Roman"/>
          <w:noProof/>
          <w:vertAlign w:val="superscript"/>
        </w:rPr>
        <w:t>26</w:t>
      </w:r>
      <w:r w:rsidR="009460B4">
        <w:rPr>
          <w:rFonts w:ascii="Times New Roman" w:hAnsi="Times New Roman"/>
        </w:rPr>
        <w:fldChar w:fldCharType="end"/>
      </w:r>
      <w:r w:rsidR="007F046B">
        <w:rPr>
          <w:rFonts w:ascii="Times New Roman" w:hAnsi="Times New Roman"/>
        </w:rPr>
        <w:t xml:space="preserve"> As s</w:t>
      </w:r>
      <w:r w:rsidR="00C24E4F">
        <w:rPr>
          <w:rFonts w:ascii="Times New Roman" w:hAnsi="Times New Roman"/>
        </w:rPr>
        <w:t xml:space="preserve">ome counties changed boundaries over the study period, Health Resource and Service Administration guidelines </w:t>
      </w:r>
      <w:r w:rsidR="004D6333">
        <w:rPr>
          <w:rFonts w:ascii="Times New Roman" w:hAnsi="Times New Roman"/>
        </w:rPr>
        <w:t>were used</w:t>
      </w:r>
      <w:r w:rsidR="00C24E4F">
        <w:rPr>
          <w:rFonts w:ascii="Times New Roman" w:hAnsi="Times New Roman"/>
        </w:rPr>
        <w:t xml:space="preserve"> to identify carry-overs from one </w:t>
      </w:r>
      <w:r w:rsidR="004D6333">
        <w:rPr>
          <w:rFonts w:ascii="Times New Roman" w:hAnsi="Times New Roman"/>
        </w:rPr>
        <w:t>designated county to newly-defined counties</w:t>
      </w:r>
      <w:r w:rsidR="00C24E4F">
        <w:rPr>
          <w:rFonts w:ascii="Times New Roman" w:hAnsi="Times New Roman"/>
        </w:rPr>
        <w:t xml:space="preserve"> over the study period.</w:t>
      </w:r>
      <w:r w:rsidR="00C55365">
        <w:rPr>
          <w:rFonts w:ascii="Times New Roman" w:hAnsi="Times New Roman"/>
        </w:rPr>
        <w:fldChar w:fldCharType="begin" w:fldLock="1"/>
      </w:r>
      <w:r w:rsidR="009460B4">
        <w:rPr>
          <w:rFonts w:ascii="Times New Roman" w:hAnsi="Times New Roman"/>
        </w:rPr>
        <w:instrText>ADDIN CSL_CITATION { "citationItems" : [ { "id" : "ITEM-1", "itemData" : { "URL" : "https://datawarehouse.hrsa.gov/topics/ahrf.aspx", "accessed" : { "date-parts" : [ [ "2018", "4", "2" ] ] }, "author" : [ { "dropping-particle" : "", "family" : "Health Resources and Services Administration", "given" : "", "non-dropping-particle" : "", "parse-names" : false, "suffix" : "" } ], "container-title" : "U.S. Department of Health and Human Services", "id" : "ITEM-1", "issued" : { "date-parts" : [ [ "2017" ] ] }, "title" : "Area Health Resource Files", "type" : "webpage" }, "uris" : [ "http://www.mendeley.com/documents/?uuid=36756679-cc5b-31dd-a62e-b83e80ff292a" ] } ], "mendeley" : { "formattedCitation" : "&lt;sup&gt;27&lt;/sup&gt;", "plainTextFormattedCitation" : "27", "previouslyFormattedCitation" : "&lt;sup&gt;27&lt;/sup&gt;" }, "properties" : {  }, "schema" : "https://github.com/citation-style-language/schema/raw/master/csl-citation.json" }</w:instrText>
      </w:r>
      <w:r w:rsidR="00C55365">
        <w:rPr>
          <w:rFonts w:ascii="Times New Roman" w:hAnsi="Times New Roman"/>
        </w:rPr>
        <w:fldChar w:fldCharType="separate"/>
      </w:r>
      <w:r w:rsidR="009460B4" w:rsidRPr="009460B4">
        <w:rPr>
          <w:rFonts w:ascii="Times New Roman" w:hAnsi="Times New Roman"/>
          <w:noProof/>
          <w:vertAlign w:val="superscript"/>
        </w:rPr>
        <w:t>27</w:t>
      </w:r>
      <w:r w:rsidR="00C55365">
        <w:rPr>
          <w:rFonts w:ascii="Times New Roman" w:hAnsi="Times New Roman"/>
        </w:rPr>
        <w:fldChar w:fldCharType="end"/>
      </w:r>
    </w:p>
    <w:p w14:paraId="4B7EEB8B" w14:textId="77777777" w:rsidR="00735123" w:rsidRDefault="00735123" w:rsidP="00011BED">
      <w:pPr>
        <w:spacing w:line="360" w:lineRule="auto"/>
        <w:rPr>
          <w:rFonts w:ascii="Times New Roman" w:hAnsi="Times New Roman"/>
        </w:rPr>
      </w:pPr>
    </w:p>
    <w:p w14:paraId="442CB94E" w14:textId="37D58A40" w:rsidR="00735123" w:rsidRPr="00735123" w:rsidRDefault="00104569" w:rsidP="00011BED">
      <w:pPr>
        <w:spacing w:line="360" w:lineRule="auto"/>
        <w:rPr>
          <w:rFonts w:ascii="Times New Roman" w:hAnsi="Times New Roman"/>
          <w:i/>
        </w:rPr>
      </w:pPr>
      <w:r>
        <w:rPr>
          <w:rFonts w:ascii="Times New Roman" w:hAnsi="Times New Roman"/>
          <w:i/>
        </w:rPr>
        <w:t xml:space="preserve">Dependent outcome </w:t>
      </w:r>
      <w:r w:rsidR="00735123">
        <w:rPr>
          <w:rFonts w:ascii="Times New Roman" w:hAnsi="Times New Roman"/>
          <w:i/>
        </w:rPr>
        <w:t>variables</w:t>
      </w:r>
    </w:p>
    <w:p w14:paraId="125AEB03" w14:textId="53E66813" w:rsidR="00011BED" w:rsidRDefault="00011BED" w:rsidP="00011BED">
      <w:pPr>
        <w:spacing w:line="360" w:lineRule="auto"/>
        <w:ind w:firstLine="720"/>
        <w:rPr>
          <w:rFonts w:ascii="Times New Roman" w:hAnsi="Times New Roman"/>
        </w:rPr>
      </w:pPr>
      <w:r w:rsidRPr="00011BED">
        <w:rPr>
          <w:rFonts w:ascii="Times New Roman" w:hAnsi="Times New Roman"/>
        </w:rPr>
        <w:t xml:space="preserve">Life-expectancy </w:t>
      </w:r>
      <w:r w:rsidR="00812C8D">
        <w:rPr>
          <w:rFonts w:ascii="Times New Roman" w:hAnsi="Times New Roman"/>
        </w:rPr>
        <w:t xml:space="preserve">(the primary pre-specified outcome) </w:t>
      </w:r>
      <w:r w:rsidRPr="00011BED">
        <w:rPr>
          <w:rFonts w:ascii="Times New Roman" w:hAnsi="Times New Roman"/>
        </w:rPr>
        <w:t xml:space="preserve">and cause-specific mortality </w:t>
      </w:r>
      <w:r w:rsidR="00812C8D">
        <w:rPr>
          <w:rFonts w:ascii="Times New Roman" w:hAnsi="Times New Roman"/>
        </w:rPr>
        <w:t xml:space="preserve">(secondary pre-specified outcomes) </w:t>
      </w:r>
      <w:r w:rsidRPr="00011BED">
        <w:rPr>
          <w:rFonts w:ascii="Times New Roman" w:hAnsi="Times New Roman"/>
        </w:rPr>
        <w:t>were obtained from the Institute for Health Metrics and Evaluation</w:t>
      </w:r>
      <w:r w:rsidR="00B07094">
        <w:rPr>
          <w:rFonts w:ascii="Times New Roman" w:hAnsi="Times New Roman"/>
        </w:rPr>
        <w:t xml:space="preserve"> (IHME)</w:t>
      </w:r>
      <w:r w:rsidRPr="00011BED">
        <w:rPr>
          <w:rFonts w:ascii="Times New Roman" w:hAnsi="Times New Roman"/>
        </w:rPr>
        <w:t>,</w:t>
      </w:r>
      <w:r w:rsidR="00C55365">
        <w:rPr>
          <w:rFonts w:ascii="Times New Roman" w:hAnsi="Times New Roman"/>
        </w:rPr>
        <w:fldChar w:fldCharType="begin" w:fldLock="1"/>
      </w:r>
      <w:r w:rsidR="009460B4">
        <w:rPr>
          <w:rFonts w:ascii="Times New Roman" w:hAnsi="Times New Roman"/>
        </w:rPr>
        <w:instrText>ADDIN CSL_CITATION { "citationItems" : [ { "id" : "ITEM-1", "itemData" : { "URL" : "https://datawarehouse.hrsa.gov/topics/ahrf.aspx", "accessed" : { "date-parts" : [ [ "2018", "4", "2" ] ] }, "author" : [ { "dropping-particle" : "", "family" : "Health Resources and Services Administration", "given" : "", "non-dropping-particle" : "", "parse-names" : false, "suffix" : "" } ], "container-title" : "U.S. Department of Health and Human Services", "id" : "ITEM-1", "issued" : { "date-parts" : [ [ "2017" ] ] }, "title" : "Area Health Resource Files", "type" : "webpage" }, "uris" : [ "http://www.mendeley.com/documents/?uuid=36756679-cc5b-31dd-a62e-b83e80ff292a" ] } ], "mendeley" : { "formattedCitation" : "&lt;sup&gt;27&lt;/sup&gt;", "plainTextFormattedCitation" : "27", "previouslyFormattedCitation" : "&lt;sup&gt;27&lt;/sup&gt;" }, "properties" : {  }, "schema" : "https://github.com/citation-style-language/schema/raw/master/csl-citation.json" }</w:instrText>
      </w:r>
      <w:r w:rsidR="00C55365">
        <w:rPr>
          <w:rFonts w:ascii="Times New Roman" w:hAnsi="Times New Roman"/>
        </w:rPr>
        <w:fldChar w:fldCharType="separate"/>
      </w:r>
      <w:r w:rsidR="009460B4" w:rsidRPr="009460B4">
        <w:rPr>
          <w:rFonts w:ascii="Times New Roman" w:hAnsi="Times New Roman"/>
          <w:noProof/>
          <w:vertAlign w:val="superscript"/>
        </w:rPr>
        <w:t>27</w:t>
      </w:r>
      <w:r w:rsidR="00C55365">
        <w:rPr>
          <w:rFonts w:ascii="Times New Roman" w:hAnsi="Times New Roman"/>
        </w:rPr>
        <w:fldChar w:fldCharType="end"/>
      </w:r>
      <w:r w:rsidRPr="00011BED">
        <w:rPr>
          <w:rFonts w:ascii="Times New Roman" w:hAnsi="Times New Roman"/>
        </w:rPr>
        <w:t xml:space="preserve"> </w:t>
      </w:r>
      <w:r w:rsidR="00AE0AB9">
        <w:rPr>
          <w:rFonts w:ascii="Times New Roman" w:hAnsi="Times New Roman"/>
        </w:rPr>
        <w:t>whose estimates were derived from</w:t>
      </w:r>
      <w:r w:rsidRPr="00011BED">
        <w:rPr>
          <w:rFonts w:ascii="Times New Roman" w:hAnsi="Times New Roman"/>
        </w:rPr>
        <w:t xml:space="preserve"> de</w:t>
      </w:r>
      <w:r w:rsidR="009D7D91">
        <w:rPr>
          <w:rFonts w:ascii="Times New Roman" w:hAnsi="Times New Roman"/>
        </w:rPr>
        <w:t>-</w:t>
      </w:r>
      <w:r w:rsidRPr="00011BED">
        <w:rPr>
          <w:rFonts w:ascii="Times New Roman" w:hAnsi="Times New Roman"/>
        </w:rPr>
        <w:t>identified death records from the National Center for Health Statistics (NCHS) and population counts from the US Census Bureau, NCHS, and the Human Mortality Database to estimate age-adjusted life expectancy at birth and cause-specific mortality</w:t>
      </w:r>
      <w:r w:rsidR="00075BAD">
        <w:rPr>
          <w:rFonts w:ascii="Times New Roman" w:hAnsi="Times New Roman"/>
        </w:rPr>
        <w:t xml:space="preserve"> for the years 2005, 2010, and 2014</w:t>
      </w:r>
      <w:r w:rsidRPr="00011BED">
        <w:rPr>
          <w:rFonts w:ascii="Times New Roman" w:hAnsi="Times New Roman"/>
        </w:rPr>
        <w:t xml:space="preserve">. The estimates are based on a Bayesian spatially explicit mixed-effects regression model incorporating fixed covariate effects (for the proportion of the adult population who graduated from high school, </w:t>
      </w:r>
      <w:r w:rsidR="00F725E5">
        <w:rPr>
          <w:rFonts w:ascii="Times New Roman" w:hAnsi="Times New Roman"/>
        </w:rPr>
        <w:t>are</w:t>
      </w:r>
      <w:r w:rsidRPr="00011BED">
        <w:rPr>
          <w:rFonts w:ascii="Times New Roman" w:hAnsi="Times New Roman"/>
        </w:rPr>
        <w:t xml:space="preserve"> Hispanic, </w:t>
      </w:r>
      <w:r w:rsidR="00F725E5">
        <w:rPr>
          <w:rFonts w:ascii="Times New Roman" w:hAnsi="Times New Roman"/>
        </w:rPr>
        <w:t>are</w:t>
      </w:r>
      <w:r w:rsidRPr="00011BED">
        <w:rPr>
          <w:rFonts w:ascii="Times New Roman" w:hAnsi="Times New Roman"/>
        </w:rPr>
        <w:t xml:space="preserve"> Black, </w:t>
      </w:r>
      <w:r w:rsidR="00F725E5">
        <w:rPr>
          <w:rFonts w:ascii="Times New Roman" w:hAnsi="Times New Roman"/>
        </w:rPr>
        <w:t>are</w:t>
      </w:r>
      <w:r w:rsidRPr="00011BED">
        <w:rPr>
          <w:rFonts w:ascii="Times New Roman" w:hAnsi="Times New Roman"/>
        </w:rPr>
        <w:t xml:space="preserve"> a race other than Black or White, and </w:t>
      </w:r>
      <w:r w:rsidR="00F725E5">
        <w:rPr>
          <w:rFonts w:ascii="Times New Roman" w:hAnsi="Times New Roman"/>
        </w:rPr>
        <w:t>are</w:t>
      </w:r>
      <w:r w:rsidRPr="00011BED">
        <w:rPr>
          <w:rFonts w:ascii="Times New Roman" w:hAnsi="Times New Roman"/>
        </w:rPr>
        <w:t xml:space="preserve"> contained within a state or federal Native American reservation; the median household income; and population density); random age-time effects; random spatial effects; random space-time effects; and random space-age effects with conditional autoregressive distributions</w:t>
      </w:r>
      <w:r w:rsidR="0043775D">
        <w:rPr>
          <w:rFonts w:ascii="Times New Roman" w:hAnsi="Times New Roman"/>
        </w:rPr>
        <w:t>, updated from 2014 to 2015 with linear interpolation</w:t>
      </w:r>
      <w:r w:rsidR="0093711A">
        <w:rPr>
          <w:rFonts w:ascii="Times New Roman" w:hAnsi="Times New Roman"/>
        </w:rPr>
        <w:t xml:space="preserve"> at the county level</w:t>
      </w:r>
      <w:r w:rsidR="0043775D">
        <w:rPr>
          <w:rFonts w:ascii="Times New Roman" w:hAnsi="Times New Roman"/>
        </w:rPr>
        <w:t>.</w:t>
      </w:r>
      <w:r w:rsidR="00C55365">
        <w:rPr>
          <w:rFonts w:ascii="Times New Roman" w:hAnsi="Times New Roman"/>
        </w:rPr>
        <w:fldChar w:fldCharType="begin" w:fldLock="1"/>
      </w:r>
      <w:r w:rsidR="00C55365">
        <w:rPr>
          <w:rFonts w:ascii="Times New Roman" w:hAnsi="Times New Roman"/>
        </w:rPr>
        <w:instrText>ADDIN CSL_CITATION { "citationItems" : [ { "id" : "ITEM-1", "itemData" : { "DOI" : "10.1001/jama.2018.0900", "ISSN" : "0098-7484", "author" : [ { "dropping-particle" : "", "family" : "Dwyer-Lindgren", "given" : "Laura", "non-dropping-particle" : "", "parse-names" : false, "suffix" : "" }, { "dropping-particle" : "", "family" : "Bertozzi-Villa", "given" : "Amelia", "non-dropping-particle" : "", "parse-names" : false, "suffix" : "" }, { "dropping-particle" : "", "family" : "Stubbs", "given" : "Rebecca W.", "non-dropping-particle" : "", "parse-names" : false, "suffix" : "" }, { "dropping-particle" : "", "family" : "Morozoff", "given" : "Chloe", "non-dropping-particle" : "", "parse-names" : false, "suffix" : "" }, { "dropping-particle" : "", "family" : "Shirude", "given" : "Shreya", "non-dropping-particle" : "", "parse-names" : false, "suffix" : "" }, { "dropping-particle" : "", "family" : "Un\u00fctzer", "given" : "J\u00fcrgen", "non-dropping-particle" : "", "parse-names" : false, "suffix" : "" }, { "dropping-particle" : "", "family" : "Naghavi", "given" : "Mohsen", "non-dropping-particle" : "", "parse-names" : false, "suffix" : "" }, { "dropping-particle" : "", "family" : "Mokdad", "given" : "Ali H.", "non-dropping-particle" : "", "parse-names" : false, "suffix" : "" }, { "dropping-particle" : "", "family" : "Murray", "given" : "Christopher J. L.", "non-dropping-particle" : "", "parse-names" : false, "suffix" : "" } ], "container-title" : "Jama", "id" : "ITEM-1", "issue" : "10", "issued" : { "date-parts" : [ [ "2018" ] ] }, "page" : "1013", "title" : "Trends and Patterns of Geographic Variation in Mortality From Substance Use Disorders and Intentional Injuries Among US Counties, 1980-2014", "type" : "article-journal", "volume" : "319" }, "uris" : [ "http://www.mendeley.com/documents/?uuid=41eca6f6-fd08-4d7d-b728-ecaccdb6a81a" ] } ], "mendeley" : { "formattedCitation" : "&lt;sup&gt;15&lt;/sup&gt;", "plainTextFormattedCitation" : "15", "previouslyFormattedCitation" : "&lt;sup&gt;15&lt;/sup&gt;" }, "properties" : {  }, "schema" : "https://github.com/citation-style-language/schema/raw/master/csl-citation.json" }</w:instrText>
      </w:r>
      <w:r w:rsidR="00C55365">
        <w:rPr>
          <w:rFonts w:ascii="Times New Roman" w:hAnsi="Times New Roman"/>
        </w:rPr>
        <w:fldChar w:fldCharType="separate"/>
      </w:r>
      <w:r w:rsidR="00C55365" w:rsidRPr="00C55365">
        <w:rPr>
          <w:rFonts w:ascii="Times New Roman" w:hAnsi="Times New Roman"/>
          <w:noProof/>
          <w:vertAlign w:val="superscript"/>
        </w:rPr>
        <w:t>15</w:t>
      </w:r>
      <w:r w:rsidR="00C55365">
        <w:rPr>
          <w:rFonts w:ascii="Times New Roman" w:hAnsi="Times New Roman"/>
        </w:rPr>
        <w:fldChar w:fldCharType="end"/>
      </w:r>
      <w:r w:rsidR="00B07094">
        <w:rPr>
          <w:rFonts w:ascii="Times New Roman" w:hAnsi="Times New Roman"/>
        </w:rPr>
        <w:t xml:space="preserve"> </w:t>
      </w:r>
      <w:r w:rsidR="00003D6E">
        <w:rPr>
          <w:rFonts w:ascii="Times New Roman" w:hAnsi="Times New Roman"/>
        </w:rPr>
        <w:t>Five</w:t>
      </w:r>
      <w:r w:rsidR="00B07094">
        <w:rPr>
          <w:rFonts w:ascii="Times New Roman" w:hAnsi="Times New Roman"/>
        </w:rPr>
        <w:t xml:space="preserve"> major categories of cause o</w:t>
      </w:r>
      <w:r w:rsidR="001F1497">
        <w:rPr>
          <w:rFonts w:ascii="Times New Roman" w:hAnsi="Times New Roman"/>
        </w:rPr>
        <w:t>f death were considered: cancer</w:t>
      </w:r>
      <w:r w:rsidR="00B07094">
        <w:rPr>
          <w:rFonts w:ascii="Times New Roman" w:hAnsi="Times New Roman"/>
        </w:rPr>
        <w:t xml:space="preserve">, cardiovascular disease, infectious disease, respiratory disease, </w:t>
      </w:r>
      <w:r w:rsidR="00003D6E">
        <w:rPr>
          <w:rFonts w:ascii="Times New Roman" w:hAnsi="Times New Roman"/>
        </w:rPr>
        <w:t xml:space="preserve">and </w:t>
      </w:r>
      <w:r w:rsidR="00B66795">
        <w:rPr>
          <w:rFonts w:ascii="Times New Roman" w:hAnsi="Times New Roman"/>
        </w:rPr>
        <w:t>substance use/injury</w:t>
      </w:r>
      <w:r w:rsidR="00B66795">
        <w:rPr>
          <w:rFonts w:ascii="Times New Roman" w:hAnsi="Times New Roman"/>
        </w:rPr>
        <w:t xml:space="preserve"> </w:t>
      </w:r>
      <w:r w:rsidR="00003D6E">
        <w:rPr>
          <w:rFonts w:ascii="Times New Roman" w:hAnsi="Times New Roman"/>
        </w:rPr>
        <w:t xml:space="preserve">(which includes </w:t>
      </w:r>
      <w:r w:rsidR="003B7123">
        <w:rPr>
          <w:rFonts w:ascii="Times New Roman" w:hAnsi="Times New Roman"/>
        </w:rPr>
        <w:t xml:space="preserve">deaths from </w:t>
      </w:r>
      <w:r w:rsidR="00003D6E">
        <w:rPr>
          <w:rFonts w:ascii="Times New Roman" w:hAnsi="Times New Roman"/>
        </w:rPr>
        <w:t>alcohol use, drug use, self-harm and interpersonal violence).</w:t>
      </w:r>
      <w:r w:rsidR="00B07094">
        <w:rPr>
          <w:rFonts w:ascii="Times New Roman" w:hAnsi="Times New Roman"/>
        </w:rPr>
        <w:t xml:space="preserve"> </w:t>
      </w:r>
    </w:p>
    <w:p w14:paraId="6B1F6E7D" w14:textId="77777777" w:rsidR="00735123" w:rsidRDefault="00735123" w:rsidP="00735123">
      <w:pPr>
        <w:spacing w:line="360" w:lineRule="auto"/>
        <w:rPr>
          <w:rFonts w:ascii="Times New Roman" w:hAnsi="Times New Roman"/>
        </w:rPr>
      </w:pPr>
    </w:p>
    <w:p w14:paraId="364DC898" w14:textId="367371F9" w:rsidR="00735123" w:rsidRPr="00735123" w:rsidRDefault="00735123" w:rsidP="00735123">
      <w:pPr>
        <w:spacing w:line="360" w:lineRule="auto"/>
        <w:rPr>
          <w:rFonts w:ascii="Times New Roman" w:hAnsi="Times New Roman"/>
          <w:i/>
        </w:rPr>
      </w:pPr>
      <w:r>
        <w:rPr>
          <w:rFonts w:ascii="Times New Roman" w:hAnsi="Times New Roman"/>
          <w:i/>
        </w:rPr>
        <w:t>Covariates</w:t>
      </w:r>
    </w:p>
    <w:p w14:paraId="21567508" w14:textId="08070827" w:rsidR="00140ECC" w:rsidRPr="00011BED" w:rsidRDefault="00BA1F01" w:rsidP="00011BED">
      <w:pPr>
        <w:spacing w:line="360" w:lineRule="auto"/>
        <w:ind w:firstLine="720"/>
        <w:rPr>
          <w:rFonts w:ascii="Times New Roman" w:hAnsi="Times New Roman"/>
        </w:rPr>
      </w:pPr>
      <w:r>
        <w:rPr>
          <w:rFonts w:ascii="Times New Roman" w:hAnsi="Times New Roman"/>
        </w:rPr>
        <w:t xml:space="preserve">Additional covariates </w:t>
      </w:r>
      <w:r w:rsidR="00EE35A5">
        <w:rPr>
          <w:rFonts w:ascii="Times New Roman" w:hAnsi="Times New Roman"/>
        </w:rPr>
        <w:t xml:space="preserve">for the years 2005, 2010, and 2015 </w:t>
      </w:r>
      <w:r w:rsidR="00320FD8">
        <w:rPr>
          <w:rFonts w:ascii="Times New Roman" w:hAnsi="Times New Roman"/>
        </w:rPr>
        <w:t>included control variables itemized</w:t>
      </w:r>
      <w:r>
        <w:rPr>
          <w:rFonts w:ascii="Times New Roman" w:hAnsi="Times New Roman"/>
        </w:rPr>
        <w:t xml:space="preserve"> in </w:t>
      </w:r>
      <w:r w:rsidRPr="00BA1F01">
        <w:rPr>
          <w:rFonts w:ascii="Times New Roman" w:hAnsi="Times New Roman"/>
          <w:b/>
        </w:rPr>
        <w:t>Table 1</w:t>
      </w:r>
      <w:r>
        <w:rPr>
          <w:rFonts w:ascii="Times New Roman" w:hAnsi="Times New Roman"/>
        </w:rPr>
        <w:t xml:space="preserve">: </w:t>
      </w:r>
      <w:r w:rsidR="00500C4F">
        <w:rPr>
          <w:rFonts w:ascii="Times New Roman" w:hAnsi="Times New Roman"/>
        </w:rPr>
        <w:t xml:space="preserve">urban/rural designation </w:t>
      </w:r>
      <w:r w:rsidR="00245F43">
        <w:rPr>
          <w:rFonts w:ascii="Times New Roman" w:hAnsi="Times New Roman"/>
        </w:rPr>
        <w:t xml:space="preserve">by the NCHS Urban-Rural Classification Scheme for Counties, which classifies counties as </w:t>
      </w:r>
      <w:r w:rsidR="00783646">
        <w:rPr>
          <w:rFonts w:ascii="Times New Roman" w:hAnsi="Times New Roman"/>
        </w:rPr>
        <w:t xml:space="preserve">large central metropolitan areas, fringe metro areas, medium metro, small metro, </w:t>
      </w:r>
      <w:proofErr w:type="spellStart"/>
      <w:r w:rsidR="00783646">
        <w:rPr>
          <w:rFonts w:ascii="Times New Roman" w:hAnsi="Times New Roman"/>
        </w:rPr>
        <w:t>micropolitan</w:t>
      </w:r>
      <w:proofErr w:type="spellEnd"/>
      <w:r w:rsidR="00783646">
        <w:rPr>
          <w:rFonts w:ascii="Times New Roman" w:hAnsi="Times New Roman"/>
        </w:rPr>
        <w:t>, or non-core areas</w:t>
      </w:r>
      <w:r w:rsidR="00C6157A">
        <w:rPr>
          <w:rFonts w:ascii="Times New Roman" w:hAnsi="Times New Roman"/>
        </w:rPr>
        <w:t xml:space="preserve">, </w:t>
      </w:r>
      <w:r w:rsidR="00496E3D">
        <w:rPr>
          <w:rFonts w:ascii="Times New Roman" w:hAnsi="Times New Roman"/>
        </w:rPr>
        <w:t>with</w:t>
      </w:r>
      <w:r w:rsidR="00C6157A">
        <w:rPr>
          <w:rFonts w:ascii="Times New Roman" w:hAnsi="Times New Roman"/>
        </w:rPr>
        <w:t xml:space="preserve"> the latter two </w:t>
      </w:r>
      <w:r w:rsidR="004027DE">
        <w:rPr>
          <w:rFonts w:ascii="Times New Roman" w:hAnsi="Times New Roman"/>
        </w:rPr>
        <w:t>labelled</w:t>
      </w:r>
      <w:r w:rsidR="00C6157A">
        <w:rPr>
          <w:rFonts w:ascii="Times New Roman" w:hAnsi="Times New Roman"/>
        </w:rPr>
        <w:t xml:space="preserve"> “</w:t>
      </w:r>
      <w:r w:rsidR="005C05A7">
        <w:rPr>
          <w:rFonts w:ascii="Times New Roman" w:hAnsi="Times New Roman"/>
        </w:rPr>
        <w:t>non-metro</w:t>
      </w:r>
      <w:r w:rsidR="00C6157A">
        <w:rPr>
          <w:rFonts w:ascii="Times New Roman" w:hAnsi="Times New Roman"/>
        </w:rPr>
        <w:t>”</w:t>
      </w:r>
      <w:r w:rsidR="00783646">
        <w:rPr>
          <w:rFonts w:ascii="Times New Roman" w:hAnsi="Times New Roman"/>
        </w:rPr>
        <w:t>;</w:t>
      </w:r>
      <w:r w:rsidR="00C55365">
        <w:rPr>
          <w:rFonts w:ascii="Times New Roman" w:hAnsi="Times New Roman"/>
        </w:rPr>
        <w:fldChar w:fldCharType="begin" w:fldLock="1"/>
      </w:r>
      <w:r w:rsidR="009460B4">
        <w:rPr>
          <w:rFonts w:ascii="Times New Roman" w:hAnsi="Times New Roman"/>
        </w:rPr>
        <w:instrText>ADDIN CSL_CITATION { "citationItems" : [ { "id" : "ITEM-1", "itemData" : { "URL" : "https://www.cdc.gov/nchs/data_access/urban_rural.htm", "accessed" : { "date-parts" : [ [ "2018", "4", "2" ] ] }, "author" : [ { "dropping-particle" : "", "family" : "CDC/National Center for Health Statistics", "given" : "", "non-dropping-particle" : "", "parse-names" : false, "suffix" : "" } ], "container-title" : "U.S. Department of Health and Human Services", "id" : "ITEM-1", "issued" : { "date-parts" : [ [ "2017" ] ] }, "title" : "Urban Rural Classification Scheme for Counties", "type" : "webpage" }, "uris" : [ "http://www.mendeley.com/documents/?uuid=ecdc3ee8-d4f5-31de-90c9-59214c2c6a4c" ] } ], "mendeley" : { "formattedCitation" : "&lt;sup&gt;26&lt;/sup&gt;", "plainTextFormattedCitation" : "26", "previouslyFormattedCitation" : "&lt;sup&gt;26&lt;/sup&gt;" }, "properties" : {  }, "schema" : "https://github.com/citation-style-language/schema/raw/master/csl-citation.json" }</w:instrText>
      </w:r>
      <w:r w:rsidR="00C55365">
        <w:rPr>
          <w:rFonts w:ascii="Times New Roman" w:hAnsi="Times New Roman"/>
        </w:rPr>
        <w:fldChar w:fldCharType="separate"/>
      </w:r>
      <w:r w:rsidR="009460B4" w:rsidRPr="009460B4">
        <w:rPr>
          <w:rFonts w:ascii="Times New Roman" w:hAnsi="Times New Roman"/>
          <w:noProof/>
          <w:vertAlign w:val="superscript"/>
        </w:rPr>
        <w:t>26</w:t>
      </w:r>
      <w:r w:rsidR="00C55365">
        <w:rPr>
          <w:rFonts w:ascii="Times New Roman" w:hAnsi="Times New Roman"/>
        </w:rPr>
        <w:fldChar w:fldCharType="end"/>
      </w:r>
      <w:r w:rsidR="00783646">
        <w:rPr>
          <w:rFonts w:ascii="Times New Roman" w:hAnsi="Times New Roman"/>
        </w:rPr>
        <w:t xml:space="preserve"> </w:t>
      </w:r>
      <w:r w:rsidR="000158C8">
        <w:rPr>
          <w:rFonts w:ascii="Times New Roman" w:hAnsi="Times New Roman"/>
        </w:rPr>
        <w:t xml:space="preserve">percent of people under the federal poverty threshold </w:t>
      </w:r>
      <w:r w:rsidR="00CC3FFC">
        <w:rPr>
          <w:rFonts w:ascii="Times New Roman" w:hAnsi="Times New Roman"/>
        </w:rPr>
        <w:t>and median household income</w:t>
      </w:r>
      <w:r w:rsidR="007728C6">
        <w:rPr>
          <w:rFonts w:ascii="Times New Roman" w:hAnsi="Times New Roman"/>
        </w:rPr>
        <w:t xml:space="preserve"> in 2015 U.S. Dollars</w:t>
      </w:r>
      <w:r w:rsidR="00CC3FFC">
        <w:rPr>
          <w:rFonts w:ascii="Times New Roman" w:hAnsi="Times New Roman"/>
        </w:rPr>
        <w:t xml:space="preserve"> </w:t>
      </w:r>
      <w:r w:rsidR="000158C8">
        <w:rPr>
          <w:rFonts w:ascii="Times New Roman" w:hAnsi="Times New Roman"/>
        </w:rPr>
        <w:t>per the Census Small Area Income and Poverty Estimates Program</w:t>
      </w:r>
      <w:r w:rsidR="00932F24">
        <w:rPr>
          <w:rFonts w:ascii="Times New Roman" w:hAnsi="Times New Roman"/>
        </w:rPr>
        <w:t>;</w:t>
      </w:r>
      <w:r w:rsidR="008F77A2">
        <w:rPr>
          <w:rFonts w:ascii="Times New Roman" w:hAnsi="Times New Roman"/>
        </w:rPr>
        <w:fldChar w:fldCharType="begin" w:fldLock="1"/>
      </w:r>
      <w:r w:rsidR="009460B4">
        <w:rPr>
          <w:rFonts w:ascii="Times New Roman" w:hAnsi="Times New Roman"/>
        </w:rPr>
        <w:instrText>ADDIN CSL_CITATION { "citationItems" : [ { "id" : "ITEM-1", "itemData" : { "URL" : "https://www.cdc.gov/nchs/data_access/urban_rural.htm", "accessed" : { "date-parts" : [ [ "2018", "4", "2" ] ] }, "author" : [ { "dropping-particle" : "", "family" : "CDC/National Center for Health Statistics", "given" : "", "non-dropping-particle" : "", "parse-names" : false, "suffix" : "" } ], "container-title" : "U.S. Department of Health and Human Services", "id" : "ITEM-1", "issued" : { "date-parts" : [ [ "2017" ] ] }, "title" : "Urban Rural Classification Scheme for Counties", "type" : "webpage" }, "uris" : [ "http://www.mendeley.com/documents/?uuid=ecdc3ee8-d4f5-31de-90c9-59214c2c6a4c" ] } ], "mendeley" : { "formattedCitation" : "&lt;sup&gt;26&lt;/sup&gt;", "plainTextFormattedCitation" : "26", "previouslyFormattedCitation" : "&lt;sup&gt;26&lt;/sup&gt;" }, "properties" : {  }, "schema" : "https://github.com/citation-style-language/schema/raw/master/csl-citation.json" }</w:instrText>
      </w:r>
      <w:r w:rsidR="008F77A2">
        <w:rPr>
          <w:rFonts w:ascii="Times New Roman" w:hAnsi="Times New Roman"/>
        </w:rPr>
        <w:fldChar w:fldCharType="separate"/>
      </w:r>
      <w:r w:rsidR="009460B4" w:rsidRPr="009460B4">
        <w:rPr>
          <w:rFonts w:ascii="Times New Roman" w:hAnsi="Times New Roman"/>
          <w:noProof/>
          <w:vertAlign w:val="superscript"/>
        </w:rPr>
        <w:t>26</w:t>
      </w:r>
      <w:r w:rsidR="008F77A2">
        <w:rPr>
          <w:rFonts w:ascii="Times New Roman" w:hAnsi="Times New Roman"/>
        </w:rPr>
        <w:fldChar w:fldCharType="end"/>
      </w:r>
      <w:r w:rsidR="00932F24">
        <w:rPr>
          <w:rFonts w:ascii="Times New Roman" w:hAnsi="Times New Roman"/>
        </w:rPr>
        <w:t xml:space="preserve"> </w:t>
      </w:r>
      <w:r w:rsidR="000D1146">
        <w:rPr>
          <w:rFonts w:ascii="Times New Roman" w:hAnsi="Times New Roman"/>
        </w:rPr>
        <w:t xml:space="preserve">percent of </w:t>
      </w:r>
      <w:r w:rsidR="00637D19">
        <w:rPr>
          <w:rFonts w:ascii="Times New Roman" w:hAnsi="Times New Roman"/>
        </w:rPr>
        <w:t xml:space="preserve">people </w:t>
      </w:r>
      <w:r w:rsidR="000D1146">
        <w:rPr>
          <w:rFonts w:ascii="Times New Roman" w:hAnsi="Times New Roman"/>
        </w:rPr>
        <w:t>aged 25 years and older with at least a high school diploma</w:t>
      </w:r>
      <w:r w:rsidR="00355AAF">
        <w:rPr>
          <w:rFonts w:ascii="Times New Roman" w:hAnsi="Times New Roman"/>
        </w:rPr>
        <w:t>, per the Census American Community Survey</w:t>
      </w:r>
      <w:r w:rsidR="000D1146">
        <w:rPr>
          <w:rFonts w:ascii="Times New Roman" w:hAnsi="Times New Roman"/>
        </w:rPr>
        <w:t>;</w:t>
      </w:r>
      <w:r w:rsidR="008F77A2">
        <w:rPr>
          <w:rFonts w:ascii="Times New Roman" w:hAnsi="Times New Roman"/>
        </w:rPr>
        <w:fldChar w:fldCharType="begin" w:fldLock="1"/>
      </w:r>
      <w:r w:rsidR="009460B4">
        <w:rPr>
          <w:rFonts w:ascii="Times New Roman" w:hAnsi="Times New Roman"/>
        </w:rPr>
        <w:instrText>ADDIN CSL_CITATION { "citationItems" : [ { "id" : "ITEM-1", "itemData" : { "URL" : "https://www.cdc.gov/nchs/data_access/urban_rural.htm", "accessed" : { "date-parts" : [ [ "2018", "4", "2" ] ] }, "author" : [ { "dropping-particle" : "", "family" : "CDC/National Center for Health Statistics", "given" : "", "non-dropping-particle" : "", "parse-names" : false, "suffix" : "" } ], "container-title" : "U.S. Department of Health and Human Services", "id" : "ITEM-1", "issued" : { "date-parts" : [ [ "2017" ] ] }, "title" : "Urban Rural Classification Scheme for Counties", "type" : "webpage" }, "uris" : [ "http://www.mendeley.com/documents/?uuid=ecdc3ee8-d4f5-31de-90c9-59214c2c6a4c" ] } ], "mendeley" : { "formattedCitation" : "&lt;sup&gt;26&lt;/sup&gt;", "plainTextFormattedCitation" : "26", "previouslyFormattedCitation" : "&lt;sup&gt;26&lt;/sup&gt;" }, "properties" : {  }, "schema" : "https://github.com/citation-style-language/schema/raw/master/csl-citation.json" }</w:instrText>
      </w:r>
      <w:r w:rsidR="008F77A2">
        <w:rPr>
          <w:rFonts w:ascii="Times New Roman" w:hAnsi="Times New Roman"/>
        </w:rPr>
        <w:fldChar w:fldCharType="separate"/>
      </w:r>
      <w:r w:rsidR="009460B4" w:rsidRPr="009460B4">
        <w:rPr>
          <w:rFonts w:ascii="Times New Roman" w:hAnsi="Times New Roman"/>
          <w:noProof/>
          <w:vertAlign w:val="superscript"/>
        </w:rPr>
        <w:t>26</w:t>
      </w:r>
      <w:r w:rsidR="008F77A2">
        <w:rPr>
          <w:rFonts w:ascii="Times New Roman" w:hAnsi="Times New Roman"/>
        </w:rPr>
        <w:fldChar w:fldCharType="end"/>
      </w:r>
      <w:r w:rsidR="000D1146">
        <w:rPr>
          <w:rFonts w:ascii="Times New Roman" w:hAnsi="Times New Roman"/>
        </w:rPr>
        <w:t xml:space="preserve"> </w:t>
      </w:r>
      <w:r w:rsidR="00637D19">
        <w:rPr>
          <w:rFonts w:ascii="Times New Roman" w:hAnsi="Times New Roman"/>
        </w:rPr>
        <w:t xml:space="preserve">percent of people </w:t>
      </w:r>
      <w:r w:rsidR="00EF6A91">
        <w:rPr>
          <w:rFonts w:ascii="Times New Roman" w:hAnsi="Times New Roman"/>
        </w:rPr>
        <w:t>aged 65 years and older</w:t>
      </w:r>
      <w:r w:rsidR="00A9134E">
        <w:rPr>
          <w:rFonts w:ascii="Times New Roman" w:hAnsi="Times New Roman"/>
        </w:rPr>
        <w:t>, of Black race, and of Hispanic ethnicity,</w:t>
      </w:r>
      <w:r w:rsidR="00EF6A91">
        <w:rPr>
          <w:rFonts w:ascii="Times New Roman" w:hAnsi="Times New Roman"/>
        </w:rPr>
        <w:t xml:space="preserve"> per the Census County Characteristics File;</w:t>
      </w:r>
      <w:r w:rsidR="008F77A2">
        <w:rPr>
          <w:rFonts w:ascii="Times New Roman" w:hAnsi="Times New Roman"/>
        </w:rPr>
        <w:fldChar w:fldCharType="begin" w:fldLock="1"/>
      </w:r>
      <w:r w:rsidR="009460B4">
        <w:rPr>
          <w:rFonts w:ascii="Times New Roman" w:hAnsi="Times New Roman"/>
        </w:rPr>
        <w:instrText>ADDIN CSL_CITATION { "citationItems" : [ { "id" : "ITEM-1", "itemData" : { "URL" : "https://www.cdc.gov/nchs/data_access/urban_rural.htm", "accessed" : { "date-parts" : [ [ "2018", "4", "2" ] ] }, "author" : [ { "dropping-particle" : "", "family" : "CDC/National Center for Health Statistics", "given" : "", "non-dropping-particle" : "", "parse-names" : false, "suffix" : "" } ], "container-title" : "U.S. Department of Health and Human Services", "id" : "ITEM-1", "issued" : { "date-parts" : [ [ "2017" ] ] }, "title" : "Urban Rural Classification Scheme for Counties", "type" : "webpage" }, "uris" : [ "http://www.mendeley.com/documents/?uuid=ecdc3ee8-d4f5-31de-90c9-59214c2c6a4c" ] } ], "mendeley" : { "formattedCitation" : "&lt;sup&gt;26&lt;/sup&gt;", "plainTextFormattedCitation" : "26", "previouslyFormattedCitation" : "&lt;sup&gt;26&lt;/sup&gt;" }, "properties" : {  }, "schema" : "https://github.com/citation-style-language/schema/raw/master/csl-citation.json" }</w:instrText>
      </w:r>
      <w:r w:rsidR="008F77A2">
        <w:rPr>
          <w:rFonts w:ascii="Times New Roman" w:hAnsi="Times New Roman"/>
        </w:rPr>
        <w:fldChar w:fldCharType="separate"/>
      </w:r>
      <w:r w:rsidR="009460B4" w:rsidRPr="009460B4">
        <w:rPr>
          <w:rFonts w:ascii="Times New Roman" w:hAnsi="Times New Roman"/>
          <w:noProof/>
          <w:vertAlign w:val="superscript"/>
        </w:rPr>
        <w:t>26</w:t>
      </w:r>
      <w:r w:rsidR="008F77A2">
        <w:rPr>
          <w:rFonts w:ascii="Times New Roman" w:hAnsi="Times New Roman"/>
        </w:rPr>
        <w:fldChar w:fldCharType="end"/>
      </w:r>
      <w:r w:rsidR="00EF6A91">
        <w:rPr>
          <w:rFonts w:ascii="Times New Roman" w:hAnsi="Times New Roman"/>
        </w:rPr>
        <w:t xml:space="preserve"> </w:t>
      </w:r>
      <w:r w:rsidR="002C5503">
        <w:rPr>
          <w:rFonts w:ascii="Times New Roman" w:hAnsi="Times New Roman"/>
        </w:rPr>
        <w:t>the unemployment rate for people aged 16 years and older, per the Bureau of Labor Statistics;</w:t>
      </w:r>
      <w:r w:rsidR="006B0760">
        <w:rPr>
          <w:rFonts w:ascii="Times New Roman" w:hAnsi="Times New Roman"/>
        </w:rPr>
        <w:fldChar w:fldCharType="begin" w:fldLock="1"/>
      </w:r>
      <w:r w:rsidR="006B0760">
        <w:rPr>
          <w:rFonts w:ascii="Times New Roman" w:hAnsi="Times New Roman"/>
        </w:rPr>
        <w:instrText>ADDIN CSL_CITATION { "citationItems" : [ { "id" : "ITEM-1", "itemData" : { "URL" : "https://data.bls.gov/timeseries/LNS14000000", "accessed" : { "date-parts" : [ [ "2018", "4", "2" ] ] }, "author" : [ { "dropping-particle" : "", "family" : "Bureau of Labor Statistics", "given" : "", "non-dropping-particle" : "", "parse-names" : false, "suffix" : "" } ], "container-title" : "U.S. Bureau of Labor Statistics", "id" : "ITEM-1", "issued" : { "date-parts" : [ [ "2018" ] ] }, "title" : "Databases, Tables and Calculators by Subject", "type" : "webpage" }, "uris" : [ "http://www.mendeley.com/documents/?uuid=5be5391d-d04c-35da-957d-ef2fadc1f254" ] } ], "mendeley" : { "formattedCitation" : "&lt;sup&gt;28&lt;/sup&gt;", "plainTextFormattedCitation" : "28", "previouslyFormattedCitation" : "&lt;sup&gt;28&lt;/sup&gt;" }, "properties" : {  }, "schema" : "https://github.com/citation-style-language/schema/raw/master/csl-citation.json" }</w:instrText>
      </w:r>
      <w:r w:rsidR="006B0760">
        <w:rPr>
          <w:rFonts w:ascii="Times New Roman" w:hAnsi="Times New Roman"/>
        </w:rPr>
        <w:fldChar w:fldCharType="separate"/>
      </w:r>
      <w:r w:rsidR="006B0760" w:rsidRPr="006B0760">
        <w:rPr>
          <w:rFonts w:ascii="Times New Roman" w:hAnsi="Times New Roman"/>
          <w:noProof/>
          <w:vertAlign w:val="superscript"/>
        </w:rPr>
        <w:t>28</w:t>
      </w:r>
      <w:r w:rsidR="006B0760">
        <w:rPr>
          <w:rFonts w:ascii="Times New Roman" w:hAnsi="Times New Roman"/>
        </w:rPr>
        <w:fldChar w:fldCharType="end"/>
      </w:r>
      <w:r w:rsidR="002C5503">
        <w:rPr>
          <w:rFonts w:ascii="Times New Roman" w:hAnsi="Times New Roman"/>
        </w:rPr>
        <w:t xml:space="preserve"> </w:t>
      </w:r>
      <w:r w:rsidR="00A80A33">
        <w:rPr>
          <w:rFonts w:ascii="Times New Roman" w:hAnsi="Times New Roman"/>
        </w:rPr>
        <w:t xml:space="preserve">the </w:t>
      </w:r>
      <w:r w:rsidR="00DF5E2A">
        <w:rPr>
          <w:rFonts w:ascii="Times New Roman" w:hAnsi="Times New Roman"/>
        </w:rPr>
        <w:t>percent of people less than 65 years old without health insurance from the Census Small Area Health Insurance Estimates;</w:t>
      </w:r>
      <w:r w:rsidR="006B0760">
        <w:rPr>
          <w:rFonts w:ascii="Times New Roman" w:hAnsi="Times New Roman"/>
        </w:rPr>
        <w:fldChar w:fldCharType="begin" w:fldLock="1"/>
      </w:r>
      <w:r w:rsidR="006B0760">
        <w:rPr>
          <w:rFonts w:ascii="Times New Roman" w:hAnsi="Times New Roman"/>
        </w:rPr>
        <w:instrText>ADDIN CSL_CITATION { "citationItems" : [ { "id" : "ITEM-1", "itemData" : { "URL" : "https://data.bls.gov/timeseries/LNS14000000", "accessed" : { "date-parts" : [ [ "2018", "4", "2" ] ] }, "author" : [ { "dropping-particle" : "", "family" : "Bureau of Labor Statistics", "given" : "", "non-dropping-particle" : "", "parse-names" : false, "suffix" : "" } ], "container-title" : "U.S. Bureau of Labor Statistics", "id" : "ITEM-1", "issued" : { "date-parts" : [ [ "2018" ] ] }, "title" : "Databases, Tables and Calculators by Subject", "type" : "webpage" }, "uris" : [ "http://www.mendeley.com/documents/?uuid=5be5391d-d04c-35da-957d-ef2fadc1f254" ] } ], "mendeley" : { "formattedCitation" : "&lt;sup&gt;28&lt;/sup&gt;", "plainTextFormattedCitation" : "28", "previouslyFormattedCitation" : "&lt;sup&gt;28&lt;/sup&gt;" }, "properties" : {  }, "schema" : "https://github.com/citation-style-language/schema/raw/master/csl-citation.json" }</w:instrText>
      </w:r>
      <w:r w:rsidR="006B0760">
        <w:rPr>
          <w:rFonts w:ascii="Times New Roman" w:hAnsi="Times New Roman"/>
        </w:rPr>
        <w:fldChar w:fldCharType="separate"/>
      </w:r>
      <w:r w:rsidR="006B0760" w:rsidRPr="006B0760">
        <w:rPr>
          <w:rFonts w:ascii="Times New Roman" w:hAnsi="Times New Roman"/>
          <w:noProof/>
          <w:vertAlign w:val="superscript"/>
        </w:rPr>
        <w:t>28</w:t>
      </w:r>
      <w:r w:rsidR="006B0760">
        <w:rPr>
          <w:rFonts w:ascii="Times New Roman" w:hAnsi="Times New Roman"/>
        </w:rPr>
        <w:fldChar w:fldCharType="end"/>
      </w:r>
      <w:r w:rsidR="00DF5E2A">
        <w:rPr>
          <w:rFonts w:ascii="Times New Roman" w:hAnsi="Times New Roman"/>
        </w:rPr>
        <w:t xml:space="preserve"> </w:t>
      </w:r>
      <w:r w:rsidR="0048389B">
        <w:rPr>
          <w:rFonts w:ascii="Times New Roman" w:hAnsi="Times New Roman"/>
        </w:rPr>
        <w:t xml:space="preserve">the number of hospital beds per </w:t>
      </w:r>
      <w:r w:rsidR="003B3FDC">
        <w:rPr>
          <w:rFonts w:ascii="Times New Roman" w:hAnsi="Times New Roman"/>
        </w:rPr>
        <w:t>10,000 population</w:t>
      </w:r>
      <w:r w:rsidR="0048389B">
        <w:rPr>
          <w:rFonts w:ascii="Times New Roman" w:hAnsi="Times New Roman"/>
        </w:rPr>
        <w:t xml:space="preserve"> from the American Hospital Association Survey Database;</w:t>
      </w:r>
      <w:r w:rsidR="006F2254">
        <w:rPr>
          <w:rFonts w:ascii="Times New Roman" w:hAnsi="Times New Roman"/>
        </w:rPr>
        <w:fldChar w:fldCharType="begin" w:fldLock="1"/>
      </w:r>
      <w:r w:rsidR="006F2254">
        <w:rPr>
          <w:rFonts w:ascii="Times New Roman" w:hAnsi="Times New Roman"/>
        </w:rPr>
        <w:instrText>ADDIN CSL_CITATION { "citationItems" : [ { "id" : "ITEM-1", "itemData" : { "URL" : "https://data.bls.gov/timeseries/LNS14000000", "accessed" : { "date-parts" : [ [ "2018", "4", "2" ] ] }, "author" : [ { "dropping-particle" : "", "family" : "Bureau of Labor Statistics", "given" : "", "non-dropping-particle" : "", "parse-names" : false, "suffix" : "" } ], "container-title" : "U.S. Bureau of Labor Statistics", "id" : "ITEM-1", "issued" : { "date-parts" : [ [ "2018" ] ] }, "title" : "Databases, Tables and Calculators by Subject", "type" : "webpage" }, "uris" : [ "http://www.mendeley.com/documents/?uuid=5be5391d-d04c-35da-957d-ef2fadc1f254" ] } ], "mendeley" : { "formattedCitation" : "&lt;sup&gt;28&lt;/sup&gt;", "plainTextFormattedCitation" : "28", "previouslyFormattedCitation" : "&lt;sup&gt;28&lt;/sup&gt;" }, "properties" : {  }, "schema" : "https://github.com/citation-style-language/schema/raw/master/csl-citation.json" }</w:instrText>
      </w:r>
      <w:r w:rsidR="006F2254">
        <w:rPr>
          <w:rFonts w:ascii="Times New Roman" w:hAnsi="Times New Roman"/>
        </w:rPr>
        <w:fldChar w:fldCharType="separate"/>
      </w:r>
      <w:r w:rsidR="006F2254" w:rsidRPr="006F2254">
        <w:rPr>
          <w:rFonts w:ascii="Times New Roman" w:hAnsi="Times New Roman"/>
          <w:noProof/>
          <w:vertAlign w:val="superscript"/>
        </w:rPr>
        <w:t>28</w:t>
      </w:r>
      <w:r w:rsidR="006F2254">
        <w:rPr>
          <w:rFonts w:ascii="Times New Roman" w:hAnsi="Times New Roman"/>
        </w:rPr>
        <w:fldChar w:fldCharType="end"/>
      </w:r>
      <w:r w:rsidR="0048389B">
        <w:rPr>
          <w:rFonts w:ascii="Times New Roman" w:hAnsi="Times New Roman"/>
        </w:rPr>
        <w:t xml:space="preserve"> </w:t>
      </w:r>
      <w:r w:rsidR="0014635A">
        <w:rPr>
          <w:rFonts w:ascii="Times New Roman" w:hAnsi="Times New Roman"/>
        </w:rPr>
        <w:t>the percent of people enrolled in Medicare from the Centers for Medicare and Medicaid Services Enrollment Dashboard;</w:t>
      </w:r>
      <w:r w:rsidR="006F2254">
        <w:rPr>
          <w:rFonts w:ascii="Times New Roman" w:hAnsi="Times New Roman"/>
        </w:rPr>
        <w:fldChar w:fldCharType="begin" w:fldLock="1"/>
      </w:r>
      <w:r w:rsidR="006F2254">
        <w:rPr>
          <w:rFonts w:ascii="Times New Roman" w:hAnsi="Times New Roman"/>
        </w:rPr>
        <w:instrText>ADDIN CSL_CITATION { "citationItems" : [ { "id" : "ITEM-1", "itemData" : { "URL" : "https://data.bls.gov/timeseries/LNS14000000", "accessed" : { "date-parts" : [ [ "2018", "4", "2" ] ] }, "author" : [ { "dropping-particle" : "", "family" : "Bureau of Labor Statistics", "given" : "", "non-dropping-particle" : "", "parse-names" : false, "suffix" : "" } ], "container-title" : "U.S. Bureau of Labor Statistics", "id" : "ITEM-1", "issued" : { "date-parts" : [ [ "2018" ] ] }, "title" : "Databases, Tables and Calculators by Subject", "type" : "webpage" }, "uris" : [ "http://www.mendeley.com/documents/?uuid=5be5391d-d04c-35da-957d-ef2fadc1f254" ] } ], "mendeley" : { "formattedCitation" : "&lt;sup&gt;28&lt;/sup&gt;", "plainTextFormattedCitation" : "28", "previouslyFormattedCitation" : "&lt;sup&gt;28&lt;/sup&gt;" }, "properties" : {  }, "schema" : "https://github.com/citation-style-language/schema/raw/master/csl-citation.json" }</w:instrText>
      </w:r>
      <w:r w:rsidR="006F2254">
        <w:rPr>
          <w:rFonts w:ascii="Times New Roman" w:hAnsi="Times New Roman"/>
        </w:rPr>
        <w:fldChar w:fldCharType="separate"/>
      </w:r>
      <w:r w:rsidR="006F2254" w:rsidRPr="006F2254">
        <w:rPr>
          <w:rFonts w:ascii="Times New Roman" w:hAnsi="Times New Roman"/>
          <w:noProof/>
          <w:vertAlign w:val="superscript"/>
        </w:rPr>
        <w:t>28</w:t>
      </w:r>
      <w:r w:rsidR="006F2254">
        <w:rPr>
          <w:rFonts w:ascii="Times New Roman" w:hAnsi="Times New Roman"/>
        </w:rPr>
        <w:fldChar w:fldCharType="end"/>
      </w:r>
      <w:r w:rsidR="0014635A">
        <w:rPr>
          <w:rFonts w:ascii="Times New Roman" w:hAnsi="Times New Roman"/>
        </w:rPr>
        <w:t xml:space="preserve"> </w:t>
      </w:r>
      <w:r w:rsidR="00334270">
        <w:rPr>
          <w:rFonts w:ascii="Times New Roman" w:hAnsi="Times New Roman"/>
        </w:rPr>
        <w:t>standardized, risk-adjusted per capita medical care costs from the Medicare Geographic Variation Public Use Files;</w:t>
      </w:r>
      <w:r w:rsidR="00041AC0">
        <w:rPr>
          <w:rFonts w:ascii="Times New Roman" w:hAnsi="Times New Roman"/>
        </w:rPr>
        <w:fldChar w:fldCharType="begin" w:fldLock="1"/>
      </w:r>
      <w:r w:rsidR="00041AC0">
        <w:rPr>
          <w:rFonts w:ascii="Times New Roman" w:hAnsi="Times New Roman"/>
        </w:rPr>
        <w:instrText>ADDIN CSL_CITATION { "citationItems" : [ { "id" : "ITEM-1", "itemData" : { "URL" : "https://data.bls.gov/timeseries/LNS14000000", "accessed" : { "date-parts" : [ [ "2018", "4", "2" ] ] }, "author" : [ { "dropping-particle" : "", "family" : "Bureau of Labor Statistics", "given" : "", "non-dropping-particle" : "", "parse-names" : false, "suffix" : "" } ], "container-title" : "U.S. Bureau of Labor Statistics", "id" : "ITEM-1", "issued" : { "date-parts" : [ [ "2018" ] ] }, "title" : "Databases, Tables and Calculators by Subject", "type" : "webpage" }, "uris" : [ "http://www.mendeley.com/documents/?uuid=5be5391d-d04c-35da-957d-ef2fadc1f254" ] } ], "mendeley" : { "formattedCitation" : "&lt;sup&gt;28&lt;/sup&gt;", "plainTextFormattedCitation" : "28", "previouslyFormattedCitation" : "&lt;sup&gt;28&lt;/sup&gt;" }, "properties" : {  }, "schema" : "https://github.com/citation-style-language/schema/raw/master/csl-citation.json" }</w:instrText>
      </w:r>
      <w:r w:rsidR="00041AC0">
        <w:rPr>
          <w:rFonts w:ascii="Times New Roman" w:hAnsi="Times New Roman"/>
        </w:rPr>
        <w:fldChar w:fldCharType="separate"/>
      </w:r>
      <w:r w:rsidR="00041AC0" w:rsidRPr="00041AC0">
        <w:rPr>
          <w:rFonts w:ascii="Times New Roman" w:hAnsi="Times New Roman"/>
          <w:noProof/>
          <w:vertAlign w:val="superscript"/>
        </w:rPr>
        <w:t>28</w:t>
      </w:r>
      <w:r w:rsidR="00041AC0">
        <w:rPr>
          <w:rFonts w:ascii="Times New Roman" w:hAnsi="Times New Roman"/>
        </w:rPr>
        <w:fldChar w:fldCharType="end"/>
      </w:r>
      <w:r w:rsidR="00334270">
        <w:rPr>
          <w:rFonts w:ascii="Times New Roman" w:hAnsi="Times New Roman"/>
        </w:rPr>
        <w:t xml:space="preserve"> </w:t>
      </w:r>
      <w:r w:rsidR="00EE6DD2">
        <w:rPr>
          <w:rFonts w:ascii="Times New Roman" w:hAnsi="Times New Roman"/>
        </w:rPr>
        <w:t xml:space="preserve">age-adjusted </w:t>
      </w:r>
      <w:r w:rsidR="006A20BC">
        <w:rPr>
          <w:rFonts w:ascii="Times New Roman" w:hAnsi="Times New Roman"/>
        </w:rPr>
        <w:t xml:space="preserve">percent of </w:t>
      </w:r>
      <w:r w:rsidR="003E7EEE">
        <w:rPr>
          <w:rFonts w:ascii="Times New Roman" w:hAnsi="Times New Roman"/>
        </w:rPr>
        <w:t>adu</w:t>
      </w:r>
      <w:r w:rsidR="00EE6DD2">
        <w:rPr>
          <w:rFonts w:ascii="Times New Roman" w:hAnsi="Times New Roman"/>
        </w:rPr>
        <w:t>lts who currently smoke tobacco and</w:t>
      </w:r>
      <w:r w:rsidR="003E7EEE">
        <w:rPr>
          <w:rFonts w:ascii="Times New Roman" w:hAnsi="Times New Roman"/>
        </w:rPr>
        <w:t xml:space="preserve"> </w:t>
      </w:r>
      <w:r w:rsidR="00EE6DD2">
        <w:rPr>
          <w:rFonts w:ascii="Times New Roman" w:hAnsi="Times New Roman"/>
        </w:rPr>
        <w:t xml:space="preserve">percent of adults currently obese </w:t>
      </w:r>
      <w:r w:rsidR="003E7EEE">
        <w:rPr>
          <w:rFonts w:ascii="Times New Roman" w:hAnsi="Times New Roman"/>
        </w:rPr>
        <w:t>from the CDC Behavioral Risk Factor Surveillance System;</w:t>
      </w:r>
      <w:r w:rsidR="002308B0">
        <w:rPr>
          <w:rFonts w:ascii="Times New Roman" w:hAnsi="Times New Roman"/>
        </w:rPr>
        <w:fldChar w:fldCharType="begin" w:fldLock="1"/>
      </w:r>
      <w:r w:rsidR="002308B0">
        <w:rPr>
          <w:rFonts w:ascii="Times New Roman" w:hAnsi="Times New Roman"/>
        </w:rPr>
        <w:instrText>ADDIN CSL_CITATION { "citationItems" : [ { "id" : "ITEM-1", "itemData" : { "URL" : "https://data.bls.gov/timeseries/LNS14000000", "accessed" : { "date-parts" : [ [ "2018", "4", "2" ] ] }, "author" : [ { "dropping-particle" : "", "family" : "Bureau of Labor Statistics", "given" : "", "non-dropping-particle" : "", "parse-names" : false, "suffix" : "" } ], "container-title" : "U.S. Bureau of Labor Statistics", "id" : "ITEM-1", "issued" : { "date-parts" : [ [ "2018" ] ] }, "title" : "Databases, Tables and Calculators by Subject", "type" : "webpage" }, "uris" : [ "http://www.mendeley.com/documents/?uuid=5be5391d-d04c-35da-957d-ef2fadc1f254" ] } ], "mendeley" : { "formattedCitation" : "&lt;sup&gt;28&lt;/sup&gt;", "plainTextFormattedCitation" : "28", "previouslyFormattedCitation" : "&lt;sup&gt;28&lt;/sup&gt;" }, "properties" : {  }, "schema" : "https://github.com/citation-style-language/schema/raw/master/csl-citation.json" }</w:instrText>
      </w:r>
      <w:r w:rsidR="002308B0">
        <w:rPr>
          <w:rFonts w:ascii="Times New Roman" w:hAnsi="Times New Roman"/>
        </w:rPr>
        <w:fldChar w:fldCharType="separate"/>
      </w:r>
      <w:r w:rsidR="002308B0" w:rsidRPr="002308B0">
        <w:rPr>
          <w:rFonts w:ascii="Times New Roman" w:hAnsi="Times New Roman"/>
          <w:noProof/>
          <w:vertAlign w:val="superscript"/>
        </w:rPr>
        <w:t>28</w:t>
      </w:r>
      <w:r w:rsidR="002308B0">
        <w:rPr>
          <w:rFonts w:ascii="Times New Roman" w:hAnsi="Times New Roman"/>
        </w:rPr>
        <w:fldChar w:fldCharType="end"/>
      </w:r>
      <w:r w:rsidR="003E7EEE">
        <w:rPr>
          <w:rFonts w:ascii="Times New Roman" w:hAnsi="Times New Roman"/>
        </w:rPr>
        <w:t xml:space="preserve"> </w:t>
      </w:r>
      <w:r w:rsidR="00EE6DD2">
        <w:rPr>
          <w:rFonts w:ascii="Times New Roman" w:hAnsi="Times New Roman"/>
        </w:rPr>
        <w:t>number of days with maximum 8-hour average ozone concentration over the National Ambient Air Quality Standard</w:t>
      </w:r>
      <w:r w:rsidR="001A3D31">
        <w:rPr>
          <w:rFonts w:ascii="Times New Roman" w:hAnsi="Times New Roman"/>
        </w:rPr>
        <w:t xml:space="preserve"> from </w:t>
      </w:r>
      <w:r w:rsidR="00EE6DD2">
        <w:rPr>
          <w:rFonts w:ascii="Times New Roman" w:hAnsi="Times New Roman"/>
        </w:rPr>
        <w:t>the CDC National Environmental Public Health Tracking Program;</w:t>
      </w:r>
      <w:r w:rsidR="002308B0">
        <w:rPr>
          <w:rFonts w:ascii="Times New Roman" w:hAnsi="Times New Roman"/>
        </w:rPr>
        <w:fldChar w:fldCharType="begin" w:fldLock="1"/>
      </w:r>
      <w:r w:rsidR="002308B0">
        <w:rPr>
          <w:rFonts w:ascii="Times New Roman" w:hAnsi="Times New Roman"/>
        </w:rPr>
        <w:instrText>ADDIN CSL_CITATION { "citationItems" : [ { "id" : "ITEM-1", "itemData" : { "URL" : "https://data.bls.gov/timeseries/LNS14000000", "accessed" : { "date-parts" : [ [ "2018", "4", "2" ] ] }, "author" : [ { "dropping-particle" : "", "family" : "Bureau of Labor Statistics", "given" : "", "non-dropping-particle" : "", "parse-names" : false, "suffix" : "" } ], "container-title" : "U.S. Bureau of Labor Statistics", "id" : "ITEM-1", "issued" : { "date-parts" : [ [ "2018" ] ] }, "title" : "Databases, Tables and Calculators by Subject", "type" : "webpage" }, "uris" : [ "http://www.mendeley.com/documents/?uuid=5be5391d-d04c-35da-957d-ef2fadc1f254" ] } ], "mendeley" : { "formattedCitation" : "&lt;sup&gt;28&lt;/sup&gt;", "plainTextFormattedCitation" : "28", "previouslyFormattedCitation" : "&lt;sup&gt;28&lt;/sup&gt;" }, "properties" : {  }, "schema" : "https://github.com/citation-style-language/schema/raw/master/csl-citation.json" }</w:instrText>
      </w:r>
      <w:r w:rsidR="002308B0">
        <w:rPr>
          <w:rFonts w:ascii="Times New Roman" w:hAnsi="Times New Roman"/>
        </w:rPr>
        <w:fldChar w:fldCharType="separate"/>
      </w:r>
      <w:r w:rsidR="002308B0" w:rsidRPr="002308B0">
        <w:rPr>
          <w:rFonts w:ascii="Times New Roman" w:hAnsi="Times New Roman"/>
          <w:noProof/>
          <w:vertAlign w:val="superscript"/>
        </w:rPr>
        <w:t>28</w:t>
      </w:r>
      <w:r w:rsidR="002308B0">
        <w:rPr>
          <w:rFonts w:ascii="Times New Roman" w:hAnsi="Times New Roman"/>
        </w:rPr>
        <w:fldChar w:fldCharType="end"/>
      </w:r>
      <w:r w:rsidR="00EE6DD2">
        <w:rPr>
          <w:rFonts w:ascii="Times New Roman" w:hAnsi="Times New Roman"/>
        </w:rPr>
        <w:t xml:space="preserve"> </w:t>
      </w:r>
      <w:r w:rsidR="001A3D31">
        <w:rPr>
          <w:rFonts w:ascii="Times New Roman" w:hAnsi="Times New Roman"/>
        </w:rPr>
        <w:t xml:space="preserve">and </w:t>
      </w:r>
      <w:r w:rsidR="007075BC">
        <w:rPr>
          <w:rFonts w:ascii="Times New Roman" w:hAnsi="Times New Roman"/>
        </w:rPr>
        <w:t>the number of non-primary-</w:t>
      </w:r>
      <w:r w:rsidR="002D6D18">
        <w:rPr>
          <w:rFonts w:ascii="Times New Roman" w:hAnsi="Times New Roman"/>
        </w:rPr>
        <w:t xml:space="preserve">care </w:t>
      </w:r>
      <w:r w:rsidR="00D9464F">
        <w:rPr>
          <w:rFonts w:ascii="Times New Roman" w:hAnsi="Times New Roman"/>
        </w:rPr>
        <w:t>medical doctors with their principal activity as patient care</w:t>
      </w:r>
      <w:r w:rsidR="007075BC">
        <w:rPr>
          <w:rFonts w:ascii="Times New Roman" w:hAnsi="Times New Roman"/>
        </w:rPr>
        <w:t>,</w:t>
      </w:r>
      <w:r w:rsidR="00D9464F">
        <w:rPr>
          <w:rFonts w:ascii="Times New Roman" w:hAnsi="Times New Roman"/>
        </w:rPr>
        <w:t xml:space="preserve"> per 10,000 population</w:t>
      </w:r>
      <w:r w:rsidR="007075BC">
        <w:rPr>
          <w:rFonts w:ascii="Times New Roman" w:hAnsi="Times New Roman"/>
        </w:rPr>
        <w:t>,</w:t>
      </w:r>
      <w:r w:rsidR="00D9464F">
        <w:rPr>
          <w:rFonts w:ascii="Times New Roman" w:hAnsi="Times New Roman"/>
        </w:rPr>
        <w:t xml:space="preserve"> from the American Medical Association Physician Masterfile.</w:t>
      </w:r>
      <w:r w:rsidR="00322A94">
        <w:rPr>
          <w:rFonts w:ascii="Times New Roman" w:hAnsi="Times New Roman"/>
        </w:rPr>
        <w:fldChar w:fldCharType="begin" w:fldLock="1"/>
      </w:r>
      <w:r w:rsidR="006B0760">
        <w:rPr>
          <w:rFonts w:ascii="Times New Roman" w:hAnsi="Times New Roman"/>
        </w:rPr>
        <w:instrText>ADDIN CSL_CITATION { "citationItems" : [ { "id" : "ITEM-1", "itemData" : { "URL" : "https://www.ama-assn.org/life-career/ama-physician-masterfile", "accessed" : { "date-parts" : [ [ "2018", "4", "2" ] ] }, "author" : [ { "dropping-particle" : "", "family" : "American Medical Association", "given" : "", "non-dropping-particle" : "", "parse-names" : false, "suffix" : "" } ], "container-title" : "American Medical Association", "id" : "ITEM-1", "issued" : { "date-parts" : [ [ "2016" ] ] }, "title" : "Physician Masterfile", "type" : "webpage" }, "uris" : [ "http://www.mendeley.com/documents/?uuid=455ac3e9-fed9-3715-a709-14fd9b973fcd" ] } ], "mendeley" : { "formattedCitation" : "&lt;sup&gt;29&lt;/sup&gt;", "plainTextFormattedCitation" : "29", "previouslyFormattedCitation" : "&lt;sup&gt;29&lt;/sup&gt;" }, "properties" : {  }, "schema" : "https://github.com/citation-style-language/schema/raw/master/csl-citation.json" }</w:instrText>
      </w:r>
      <w:r w:rsidR="00322A94">
        <w:rPr>
          <w:rFonts w:ascii="Times New Roman" w:hAnsi="Times New Roman"/>
        </w:rPr>
        <w:fldChar w:fldCharType="separate"/>
      </w:r>
      <w:r w:rsidR="006B0760" w:rsidRPr="006B0760">
        <w:rPr>
          <w:rFonts w:ascii="Times New Roman" w:hAnsi="Times New Roman"/>
          <w:noProof/>
          <w:vertAlign w:val="superscript"/>
        </w:rPr>
        <w:t>29</w:t>
      </w:r>
      <w:r w:rsidR="00322A94">
        <w:rPr>
          <w:rFonts w:ascii="Times New Roman" w:hAnsi="Times New Roman"/>
        </w:rPr>
        <w:fldChar w:fldCharType="end"/>
      </w:r>
    </w:p>
    <w:p w14:paraId="3F341D1C" w14:textId="77777777" w:rsidR="00EA0EC7" w:rsidRDefault="00EA0EC7" w:rsidP="00EB1580">
      <w:pPr>
        <w:spacing w:line="360" w:lineRule="auto"/>
        <w:rPr>
          <w:rFonts w:ascii="Times New Roman" w:hAnsi="Times New Roman"/>
          <w:i/>
        </w:rPr>
      </w:pPr>
    </w:p>
    <w:p w14:paraId="66CCC01D" w14:textId="190D2E8B" w:rsidR="00EA0EC7" w:rsidRDefault="00EA0EC7" w:rsidP="00EB1580">
      <w:pPr>
        <w:spacing w:line="360" w:lineRule="auto"/>
        <w:rPr>
          <w:rFonts w:ascii="Times New Roman" w:hAnsi="Times New Roman"/>
          <w:i/>
        </w:rPr>
      </w:pPr>
      <w:r>
        <w:rPr>
          <w:rFonts w:ascii="Times New Roman" w:hAnsi="Times New Roman"/>
          <w:i/>
        </w:rPr>
        <w:t>Statistical analysis methods</w:t>
      </w:r>
    </w:p>
    <w:p w14:paraId="38AEEA75" w14:textId="79A361A5" w:rsidR="00EB2D8C" w:rsidRDefault="009B690A" w:rsidP="00EB1580">
      <w:pPr>
        <w:spacing w:line="360" w:lineRule="auto"/>
        <w:rPr>
          <w:rFonts w:ascii="Times New Roman" w:hAnsi="Times New Roman"/>
        </w:rPr>
      </w:pPr>
      <w:r>
        <w:rPr>
          <w:rFonts w:ascii="Times New Roman" w:hAnsi="Times New Roman"/>
        </w:rPr>
        <w:tab/>
      </w:r>
      <w:r w:rsidR="00D808E4">
        <w:rPr>
          <w:rFonts w:ascii="Times New Roman" w:hAnsi="Times New Roman"/>
        </w:rPr>
        <w:t>V</w:t>
      </w:r>
      <w:r w:rsidR="00523DD8">
        <w:rPr>
          <w:rFonts w:ascii="Times New Roman" w:hAnsi="Times New Roman"/>
        </w:rPr>
        <w:t xml:space="preserve">ariables were </w:t>
      </w:r>
      <w:r w:rsidR="00CA1D7D">
        <w:rPr>
          <w:rFonts w:ascii="Times New Roman" w:hAnsi="Times New Roman"/>
        </w:rPr>
        <w:t>ce</w:t>
      </w:r>
      <w:r w:rsidR="00016007">
        <w:rPr>
          <w:rFonts w:ascii="Times New Roman" w:hAnsi="Times New Roman"/>
        </w:rPr>
        <w:t xml:space="preserve">ntered and scaled into Z scores, so </w:t>
      </w:r>
      <w:r w:rsidR="00CA1D7D">
        <w:rPr>
          <w:rFonts w:ascii="Times New Roman" w:hAnsi="Times New Roman"/>
        </w:rPr>
        <w:t xml:space="preserve">that regression coefficients could </w:t>
      </w:r>
      <w:r w:rsidR="00104569">
        <w:rPr>
          <w:rFonts w:ascii="Times New Roman" w:hAnsi="Times New Roman"/>
        </w:rPr>
        <w:t>be interpreted as the change in the dependent outcome variable associated with a one standard deviation increase in each independent variable.</w:t>
      </w:r>
      <w:r w:rsidR="0079272B">
        <w:rPr>
          <w:rFonts w:ascii="Times New Roman" w:hAnsi="Times New Roman"/>
        </w:rPr>
        <w:t xml:space="preserve"> </w:t>
      </w:r>
      <w:r w:rsidR="0014025D">
        <w:rPr>
          <w:rFonts w:ascii="Times New Roman" w:hAnsi="Times New Roman"/>
        </w:rPr>
        <w:t xml:space="preserve">Missing data were not </w:t>
      </w:r>
      <w:r w:rsidR="0014025D">
        <w:rPr>
          <w:rFonts w:ascii="Times New Roman" w:hAnsi="Times New Roman"/>
        </w:rPr>
        <w:lastRenderedPageBreak/>
        <w:t>imputed, as &lt;5% of counties had any missing variable.</w:t>
      </w:r>
      <w:r w:rsidR="00D25EBF">
        <w:rPr>
          <w:rFonts w:ascii="Times New Roman" w:hAnsi="Times New Roman"/>
        </w:rPr>
        <w:t xml:space="preserve"> </w:t>
      </w:r>
      <w:r w:rsidR="00ED1FC1">
        <w:rPr>
          <w:rFonts w:ascii="Times New Roman" w:hAnsi="Times New Roman"/>
        </w:rPr>
        <w:t xml:space="preserve">The primary </w:t>
      </w:r>
      <w:r w:rsidR="00812C8D">
        <w:rPr>
          <w:rFonts w:ascii="Times New Roman" w:hAnsi="Times New Roman"/>
        </w:rPr>
        <w:t xml:space="preserve">pre-specified </w:t>
      </w:r>
      <w:r w:rsidR="00ED1FC1">
        <w:rPr>
          <w:rFonts w:ascii="Times New Roman" w:hAnsi="Times New Roman"/>
        </w:rPr>
        <w:t>model was</w:t>
      </w:r>
      <w:r w:rsidR="000E1CAF">
        <w:rPr>
          <w:rFonts w:ascii="Times New Roman" w:hAnsi="Times New Roman"/>
        </w:rPr>
        <w:t xml:space="preserve"> a </w:t>
      </w:r>
      <w:r w:rsidR="0044733A">
        <w:rPr>
          <w:rFonts w:ascii="Times New Roman" w:hAnsi="Times New Roman"/>
        </w:rPr>
        <w:t xml:space="preserve">dynamic </w:t>
      </w:r>
      <w:r w:rsidR="000E1CAF">
        <w:rPr>
          <w:rFonts w:ascii="Times New Roman" w:hAnsi="Times New Roman"/>
        </w:rPr>
        <w:t xml:space="preserve">fixed effects </w:t>
      </w:r>
      <w:r w:rsidR="0044733A">
        <w:rPr>
          <w:rFonts w:ascii="Times New Roman" w:hAnsi="Times New Roman"/>
        </w:rPr>
        <w:t xml:space="preserve">panel regression </w:t>
      </w:r>
      <w:r w:rsidR="000E1CAF">
        <w:rPr>
          <w:rFonts w:ascii="Times New Roman" w:hAnsi="Times New Roman"/>
        </w:rPr>
        <w:t>model</w:t>
      </w:r>
      <w:r w:rsidR="00EB2D8C">
        <w:rPr>
          <w:rFonts w:ascii="Times New Roman" w:hAnsi="Times New Roman"/>
        </w:rPr>
        <w:t>:</w:t>
      </w:r>
    </w:p>
    <w:p w14:paraId="6DE08F8C" w14:textId="4F291BDD" w:rsidR="00047D02" w:rsidRDefault="00EB2D8C" w:rsidP="00EB1580">
      <w:pPr>
        <w:spacing w:line="360" w:lineRule="auto"/>
        <w:rPr>
          <w:rFonts w:ascii="Times New Roman" w:hAnsi="Times New Roman"/>
        </w:rPr>
      </w:pPr>
      <w:r>
        <w:rPr>
          <w:rFonts w:ascii="Times New Roman" w:hAnsi="Times New Roman"/>
        </w:rPr>
        <w:t>[Eq. 1]</w:t>
      </w:r>
      <w:r>
        <w:rPr>
          <w:rFonts w:ascii="Times New Roman" w:hAnsi="Times New Roman"/>
        </w:rPr>
        <w:tab/>
      </w:r>
      <w:r>
        <w:rPr>
          <w:rFonts w:ascii="Times New Roman" w:hAnsi="Times New Roman"/>
        </w:rPr>
        <w:tab/>
      </w:r>
      <w:r w:rsidR="00047D02">
        <w:rPr>
          <w:rFonts w:ascii="Times New Roman" w:hAnsi="Times New Roman"/>
        </w:rPr>
        <w:t xml:space="preserv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0178CA">
        <w:rPr>
          <w:rFonts w:ascii="Times New Roman" w:hAnsi="Times New Roman"/>
        </w:rPr>
        <w:t>,</w:t>
      </w:r>
    </w:p>
    <w:p w14:paraId="72B82EF3" w14:textId="4ABC4CFF" w:rsidR="00E94532" w:rsidRDefault="000178CA" w:rsidP="00EB1580">
      <w:pPr>
        <w:spacing w:line="360" w:lineRule="auto"/>
        <w:rPr>
          <w:rFonts w:ascii="Times New Roman" w:hAnsi="Times New Roman"/>
        </w:rPr>
      </w:pPr>
      <w:r>
        <w:rPr>
          <w:rFonts w:ascii="Times New Roman" w:hAnsi="Times New Roman"/>
        </w:rPr>
        <w:t xml:space="preserve">where </w:t>
      </w:r>
      <w:proofErr w:type="spellStart"/>
      <w:r>
        <w:rPr>
          <w:rFonts w:ascii="Times New Roman" w:hAnsi="Times New Roman"/>
          <w:i/>
        </w:rPr>
        <w:t>y</w:t>
      </w:r>
      <w:r>
        <w:rPr>
          <w:rFonts w:ascii="Times New Roman" w:hAnsi="Times New Roman"/>
          <w:i/>
          <w:vertAlign w:val="subscript"/>
        </w:rPr>
        <w:t>it</w:t>
      </w:r>
      <w:proofErr w:type="spellEnd"/>
      <w:r>
        <w:rPr>
          <w:rFonts w:ascii="Times New Roman" w:hAnsi="Times New Roman"/>
          <w:i/>
        </w:rPr>
        <w:t xml:space="preserve"> </w:t>
      </w:r>
      <w:r>
        <w:rPr>
          <w:rFonts w:ascii="Times New Roman" w:hAnsi="Times New Roman"/>
        </w:rPr>
        <w:t xml:space="preserve">is the dependent outcome variable observed for county </w:t>
      </w:r>
      <w:proofErr w:type="spellStart"/>
      <w:r>
        <w:rPr>
          <w:rFonts w:ascii="Times New Roman" w:hAnsi="Times New Roman"/>
          <w:i/>
        </w:rPr>
        <w:t>i</w:t>
      </w:r>
      <w:proofErr w:type="spellEnd"/>
      <w:r>
        <w:rPr>
          <w:rFonts w:ascii="Times New Roman" w:hAnsi="Times New Roman"/>
          <w:i/>
        </w:rPr>
        <w:t xml:space="preserve"> </w:t>
      </w:r>
      <w:r>
        <w:rPr>
          <w:rFonts w:ascii="Times New Roman" w:hAnsi="Times New Roman"/>
        </w:rPr>
        <w:t xml:space="preserve">at time </w:t>
      </w:r>
      <w:r>
        <w:rPr>
          <w:rFonts w:ascii="Times New Roman" w:hAnsi="Times New Roman"/>
          <w:i/>
        </w:rPr>
        <w:t>t</w:t>
      </w:r>
      <w:r>
        <w:rPr>
          <w:rFonts w:ascii="Times New Roman" w:hAnsi="Times New Roman"/>
        </w:rPr>
        <w:t xml:space="preserve">, </w:t>
      </w:r>
      <w:proofErr w:type="spellStart"/>
      <w:r>
        <w:rPr>
          <w:rFonts w:ascii="Times New Roman" w:hAnsi="Times New Roman"/>
          <w:i/>
        </w:rPr>
        <w:t>X</w:t>
      </w:r>
      <w:r>
        <w:rPr>
          <w:rFonts w:ascii="Times New Roman" w:hAnsi="Times New Roman"/>
          <w:i/>
          <w:vertAlign w:val="subscript"/>
        </w:rPr>
        <w:t>it</w:t>
      </w:r>
      <w:proofErr w:type="spellEnd"/>
      <w:r>
        <w:rPr>
          <w:rFonts w:ascii="Times New Roman" w:hAnsi="Times New Roman"/>
          <w:i/>
        </w:rPr>
        <w:t xml:space="preserve"> </w:t>
      </w:r>
      <w:r>
        <w:rPr>
          <w:rFonts w:ascii="Times New Roman" w:hAnsi="Times New Roman"/>
        </w:rPr>
        <w:t xml:space="preserve">is the time-varying 1 </w:t>
      </w:r>
      <w:r w:rsidRPr="000178CA">
        <w:rPr>
          <w:rFonts w:ascii="Arial" w:hAnsi="Arial" w:cs="Arial"/>
        </w:rPr>
        <w:t>x</w:t>
      </w:r>
      <w:r>
        <w:rPr>
          <w:rFonts w:ascii="Times New Roman" w:hAnsi="Times New Roman"/>
        </w:rPr>
        <w:t xml:space="preserve"> </w:t>
      </w:r>
      <w:r>
        <w:rPr>
          <w:rFonts w:ascii="Times New Roman" w:hAnsi="Times New Roman"/>
          <w:i/>
        </w:rPr>
        <w:t xml:space="preserve">k </w:t>
      </w:r>
      <w:r>
        <w:rPr>
          <w:rFonts w:ascii="Times New Roman" w:hAnsi="Times New Roman"/>
        </w:rPr>
        <w:t>matrix of</w:t>
      </w:r>
      <w:r w:rsidR="00D13FE6">
        <w:rPr>
          <w:rFonts w:ascii="Times New Roman" w:hAnsi="Times New Roman"/>
        </w:rPr>
        <w:t xml:space="preserve"> the</w:t>
      </w:r>
      <w:r>
        <w:rPr>
          <w:rFonts w:ascii="Times New Roman" w:hAnsi="Times New Roman"/>
        </w:rPr>
        <w:t xml:space="preserve"> </w:t>
      </w:r>
      <w:r>
        <w:rPr>
          <w:rFonts w:ascii="Times New Roman" w:hAnsi="Times New Roman"/>
          <w:i/>
        </w:rPr>
        <w:t xml:space="preserve">k </w:t>
      </w:r>
      <w:r>
        <w:rPr>
          <w:rFonts w:ascii="Times New Roman" w:hAnsi="Times New Roman"/>
        </w:rPr>
        <w:t xml:space="preserve">independent variables, </w:t>
      </w:r>
      <w:r w:rsidRPr="000178CA">
        <w:rPr>
          <w:rFonts w:ascii="Symbol" w:hAnsi="Symbol"/>
          <w:i/>
        </w:rPr>
        <w:t></w:t>
      </w:r>
      <w:r>
        <w:rPr>
          <w:rFonts w:ascii="Times New Roman" w:hAnsi="Times New Roman"/>
          <w:i/>
        </w:rPr>
        <w:t xml:space="preserve"> </w:t>
      </w:r>
      <w:r>
        <w:rPr>
          <w:rFonts w:ascii="Times New Roman" w:hAnsi="Times New Roman"/>
        </w:rPr>
        <w:t xml:space="preserve">is the </w:t>
      </w:r>
      <w:r>
        <w:rPr>
          <w:rFonts w:ascii="Times New Roman" w:hAnsi="Times New Roman"/>
          <w:i/>
        </w:rPr>
        <w:t xml:space="preserve">k </w:t>
      </w:r>
      <w:r w:rsidRPr="000178CA">
        <w:rPr>
          <w:rFonts w:ascii="Arial" w:hAnsi="Arial" w:cs="Arial"/>
        </w:rPr>
        <w:t>x</w:t>
      </w:r>
      <w:r>
        <w:rPr>
          <w:rFonts w:ascii="Times New Roman" w:hAnsi="Times New Roman"/>
          <w:i/>
        </w:rPr>
        <w:t xml:space="preserve"> </w:t>
      </w:r>
      <w:r>
        <w:rPr>
          <w:rFonts w:ascii="Times New Roman" w:hAnsi="Times New Roman"/>
        </w:rPr>
        <w:t xml:space="preserve">1 matrix of coefficients to be estimated, </w:t>
      </w:r>
      <w:r w:rsidRPr="00B506FB">
        <w:rPr>
          <w:rFonts w:ascii="Symbol" w:hAnsi="Symbol"/>
          <w:i/>
        </w:rPr>
        <w:t></w:t>
      </w:r>
      <w:proofErr w:type="spellStart"/>
      <w:r>
        <w:rPr>
          <w:rFonts w:ascii="Times New Roman" w:hAnsi="Times New Roman"/>
          <w:i/>
          <w:vertAlign w:val="subscript"/>
        </w:rPr>
        <w:t>i</w:t>
      </w:r>
      <w:proofErr w:type="spellEnd"/>
      <w:r>
        <w:rPr>
          <w:rFonts w:ascii="Times New Roman" w:hAnsi="Times New Roman"/>
          <w:i/>
        </w:rPr>
        <w:t xml:space="preserve"> </w:t>
      </w:r>
      <w:r>
        <w:rPr>
          <w:rFonts w:ascii="Times New Roman" w:hAnsi="Times New Roman"/>
        </w:rPr>
        <w:t xml:space="preserve">is the county fixed effect to </w:t>
      </w:r>
      <w:r w:rsidR="00A0201F">
        <w:rPr>
          <w:rFonts w:ascii="Times New Roman" w:hAnsi="Times New Roman"/>
        </w:rPr>
        <w:t>adjust</w:t>
      </w:r>
      <w:r>
        <w:rPr>
          <w:rFonts w:ascii="Times New Roman" w:hAnsi="Times New Roman"/>
        </w:rPr>
        <w:t xml:space="preserve"> for time-invariant unobserved differences among counties, </w:t>
      </w:r>
      <w:r w:rsidR="0043781E" w:rsidRPr="0043781E">
        <w:rPr>
          <w:rFonts w:ascii="Symbol" w:hAnsi="Symbol"/>
          <w:i/>
        </w:rPr>
        <w:t></w:t>
      </w:r>
      <w:r w:rsidR="0043781E">
        <w:rPr>
          <w:rFonts w:ascii="Times New Roman" w:hAnsi="Times New Roman"/>
          <w:i/>
          <w:vertAlign w:val="subscript"/>
        </w:rPr>
        <w:t>t</w:t>
      </w:r>
      <w:r w:rsidR="0043781E">
        <w:rPr>
          <w:rFonts w:ascii="Times New Roman" w:hAnsi="Times New Roman"/>
          <w:i/>
        </w:rPr>
        <w:t xml:space="preserve"> </w:t>
      </w:r>
      <w:r>
        <w:rPr>
          <w:rFonts w:ascii="Times New Roman" w:hAnsi="Times New Roman"/>
        </w:rPr>
        <w:t xml:space="preserve">is the </w:t>
      </w:r>
      <w:r w:rsidR="0042131A">
        <w:rPr>
          <w:rFonts w:ascii="Times New Roman" w:hAnsi="Times New Roman"/>
        </w:rPr>
        <w:t>time</w:t>
      </w:r>
      <w:r>
        <w:rPr>
          <w:rFonts w:ascii="Times New Roman" w:hAnsi="Times New Roman"/>
        </w:rPr>
        <w:t xml:space="preserve"> fixed effect to </w:t>
      </w:r>
      <w:r w:rsidR="00A0201F">
        <w:rPr>
          <w:rFonts w:ascii="Times New Roman" w:hAnsi="Times New Roman"/>
        </w:rPr>
        <w:t xml:space="preserve">adjust </w:t>
      </w:r>
      <w:r>
        <w:rPr>
          <w:rFonts w:ascii="Times New Roman" w:hAnsi="Times New Roman"/>
        </w:rPr>
        <w:t xml:space="preserve">for time-invariant unobserved differences among time periods, </w:t>
      </w:r>
      <w:r w:rsidR="00A02490">
        <w:rPr>
          <w:rFonts w:ascii="Times New Roman" w:hAnsi="Times New Roman"/>
        </w:rPr>
        <w:t xml:space="preserve">and </w:t>
      </w:r>
      <w:r w:rsidR="00913A31" w:rsidRPr="00913A31">
        <w:rPr>
          <w:rFonts w:ascii="Symbol" w:hAnsi="Symbol"/>
          <w:i/>
        </w:rPr>
        <w:t></w:t>
      </w:r>
      <w:r w:rsidR="00A02490">
        <w:rPr>
          <w:rFonts w:ascii="Times New Roman" w:hAnsi="Times New Roman"/>
          <w:i/>
          <w:vertAlign w:val="subscript"/>
        </w:rPr>
        <w:t>it</w:t>
      </w:r>
      <w:r w:rsidR="00A02490">
        <w:rPr>
          <w:rFonts w:ascii="Times New Roman" w:hAnsi="Times New Roman"/>
        </w:rPr>
        <w:t xml:space="preserve"> is the error term.</w:t>
      </w:r>
      <w:r w:rsidR="00B476BC">
        <w:rPr>
          <w:rFonts w:ascii="Times New Roman" w:hAnsi="Times New Roman"/>
        </w:rPr>
        <w:t xml:space="preserve"> </w:t>
      </w:r>
      <w:r w:rsidR="00F40C12">
        <w:rPr>
          <w:rFonts w:ascii="Times New Roman" w:hAnsi="Times New Roman"/>
        </w:rPr>
        <w:t>C</w:t>
      </w:r>
      <w:r w:rsidR="00E94532">
        <w:rPr>
          <w:rFonts w:ascii="Times New Roman" w:hAnsi="Times New Roman"/>
        </w:rPr>
        <w:t>lustered standard errors were computed at the county level</w:t>
      </w:r>
      <w:r w:rsidR="00DA37E9">
        <w:rPr>
          <w:rFonts w:ascii="Times New Roman" w:hAnsi="Times New Roman"/>
        </w:rPr>
        <w:t xml:space="preserve"> to correct for serial correlation</w:t>
      </w:r>
      <w:r w:rsidR="00E94532">
        <w:rPr>
          <w:rFonts w:ascii="Times New Roman" w:hAnsi="Times New Roman"/>
        </w:rPr>
        <w:t>.</w:t>
      </w:r>
      <w:r w:rsidR="001462DC">
        <w:rPr>
          <w:rFonts w:ascii="Times New Roman" w:hAnsi="Times New Roman"/>
        </w:rPr>
        <w:t xml:space="preserve"> </w:t>
      </w:r>
      <w:r w:rsidR="005A430C">
        <w:rPr>
          <w:rFonts w:ascii="Times New Roman" w:hAnsi="Times New Roman"/>
        </w:rPr>
        <w:t xml:space="preserve">A </w:t>
      </w:r>
      <w:proofErr w:type="spellStart"/>
      <w:r w:rsidR="005A430C">
        <w:rPr>
          <w:rFonts w:ascii="Times New Roman" w:hAnsi="Times New Roman"/>
        </w:rPr>
        <w:t>Hausman</w:t>
      </w:r>
      <w:proofErr w:type="spellEnd"/>
      <w:r w:rsidR="005A430C">
        <w:rPr>
          <w:rFonts w:ascii="Times New Roman" w:hAnsi="Times New Roman"/>
        </w:rPr>
        <w:t xml:space="preserve"> test rejected the </w:t>
      </w:r>
      <w:r w:rsidR="000817E4">
        <w:rPr>
          <w:rFonts w:ascii="Times New Roman" w:hAnsi="Times New Roman"/>
        </w:rPr>
        <w:t>null hypothesis that the preferred model would be a random effects</w:t>
      </w:r>
      <w:r w:rsidR="00EF3531">
        <w:rPr>
          <w:rFonts w:ascii="Times New Roman" w:hAnsi="Times New Roman"/>
        </w:rPr>
        <w:t xml:space="preserve"> specification</w:t>
      </w:r>
      <w:r w:rsidR="000817E4">
        <w:rPr>
          <w:rFonts w:ascii="Times New Roman" w:hAnsi="Times New Roman"/>
        </w:rPr>
        <w:t xml:space="preserve">, in favor of the above fixed effects specification. </w:t>
      </w:r>
      <w:r w:rsidR="005D462E">
        <w:rPr>
          <w:rFonts w:ascii="Times New Roman" w:hAnsi="Times New Roman"/>
        </w:rPr>
        <w:t xml:space="preserve">The model was also subject to calculation of variance inflation factors (VIFs) </w:t>
      </w:r>
      <w:r w:rsidR="00AF7BA1">
        <w:rPr>
          <w:rFonts w:ascii="Times New Roman" w:hAnsi="Times New Roman"/>
        </w:rPr>
        <w:t>and the Farrar-</w:t>
      </w:r>
      <w:proofErr w:type="spellStart"/>
      <w:r w:rsidR="00AF7BA1">
        <w:rPr>
          <w:rFonts w:ascii="Times New Roman" w:hAnsi="Times New Roman"/>
        </w:rPr>
        <w:t>Glauber</w:t>
      </w:r>
      <w:proofErr w:type="spellEnd"/>
      <w:r w:rsidR="00AF7BA1">
        <w:rPr>
          <w:rFonts w:ascii="Times New Roman" w:hAnsi="Times New Roman"/>
        </w:rPr>
        <w:t xml:space="preserve"> test </w:t>
      </w:r>
      <w:r w:rsidR="005D462E">
        <w:rPr>
          <w:rFonts w:ascii="Times New Roman" w:hAnsi="Times New Roman"/>
        </w:rPr>
        <w:t xml:space="preserve">to identify </w:t>
      </w:r>
      <w:r w:rsidR="002337EC">
        <w:rPr>
          <w:rFonts w:ascii="Times New Roman" w:hAnsi="Times New Roman"/>
        </w:rPr>
        <w:t>the potential for estimates to be</w:t>
      </w:r>
      <w:r w:rsidR="005D462E">
        <w:rPr>
          <w:rFonts w:ascii="Times New Roman" w:hAnsi="Times New Roman"/>
        </w:rPr>
        <w:t xml:space="preserve"> </w:t>
      </w:r>
      <w:r w:rsidR="00AF7F88">
        <w:rPr>
          <w:rFonts w:ascii="Times New Roman" w:hAnsi="Times New Roman"/>
        </w:rPr>
        <w:t xml:space="preserve">influenced </w:t>
      </w:r>
      <w:r w:rsidR="005D462E">
        <w:rPr>
          <w:rFonts w:ascii="Times New Roman" w:hAnsi="Times New Roman"/>
        </w:rPr>
        <w:t>by multi-collinearity;</w:t>
      </w:r>
      <w:r w:rsidR="00810151">
        <w:rPr>
          <w:rFonts w:ascii="Times New Roman" w:hAnsi="Times New Roman"/>
        </w:rPr>
        <w:fldChar w:fldCharType="begin" w:fldLock="1"/>
      </w:r>
      <w:r w:rsidR="006B0760">
        <w:rPr>
          <w:rFonts w:ascii="Times New Roman" w:hAnsi="Times New Roman"/>
        </w:rPr>
        <w:instrText>ADDIN CSL_CITATION { "citationItems" : [ { "id" : "ITEM-1", "itemData" : { "author" : [ { "dropping-particle" : "", "family" : "Wichers", "given" : "CR", "non-dropping-particle" : "", "parse-names" : false, "suffix" : "" } ], "container-title" : "The Review of Economics and Statistics", "id" : "ITEM-1", "issue" : "3", "issued" : { "date-parts" : [ [ "1975" ] ] }, "page" : "366-8", "title" : "The detection of multicollinearity", "type" : "article-journal", "volume" : "57" }, "uris" : [ "http://www.mendeley.com/documents/?uuid=3a401446-9429-3949-afbc-741b65560fff" ] } ], "mendeley" : { "formattedCitation" : "&lt;sup&gt;30&lt;/sup&gt;", "plainTextFormattedCitation" : "30", "previouslyFormattedCitation" : "&lt;sup&gt;30&lt;/sup&gt;" }, "properties" : {  }, "schema" : "https://github.com/citation-style-language/schema/raw/master/csl-citation.json" }</w:instrText>
      </w:r>
      <w:r w:rsidR="00810151">
        <w:rPr>
          <w:rFonts w:ascii="Times New Roman" w:hAnsi="Times New Roman"/>
        </w:rPr>
        <w:fldChar w:fldCharType="separate"/>
      </w:r>
      <w:r w:rsidR="006B0760" w:rsidRPr="006B0760">
        <w:rPr>
          <w:rFonts w:ascii="Times New Roman" w:hAnsi="Times New Roman"/>
          <w:noProof/>
          <w:vertAlign w:val="superscript"/>
        </w:rPr>
        <w:t>30</w:t>
      </w:r>
      <w:r w:rsidR="00810151">
        <w:rPr>
          <w:rFonts w:ascii="Times New Roman" w:hAnsi="Times New Roman"/>
        </w:rPr>
        <w:fldChar w:fldCharType="end"/>
      </w:r>
      <w:r w:rsidR="005D462E">
        <w:rPr>
          <w:rFonts w:ascii="Times New Roman" w:hAnsi="Times New Roman"/>
        </w:rPr>
        <w:t xml:space="preserve"> the </w:t>
      </w:r>
      <w:r w:rsidR="008E7F73">
        <w:rPr>
          <w:rFonts w:ascii="Times New Roman" w:hAnsi="Times New Roman"/>
        </w:rPr>
        <w:t>tests</w:t>
      </w:r>
      <w:r w:rsidR="005D462E">
        <w:rPr>
          <w:rFonts w:ascii="Times New Roman" w:hAnsi="Times New Roman"/>
        </w:rPr>
        <w:t xml:space="preserve"> indicated </w:t>
      </w:r>
      <w:r w:rsidR="00100293">
        <w:rPr>
          <w:rFonts w:ascii="Times New Roman" w:hAnsi="Times New Roman"/>
        </w:rPr>
        <w:t xml:space="preserve">that the factors with problematic levels of collinearity (having VIFs&gt;4) were: </w:t>
      </w:r>
      <w:r w:rsidR="005D462E">
        <w:rPr>
          <w:rFonts w:ascii="Times New Roman" w:hAnsi="Times New Roman"/>
        </w:rPr>
        <w:t>elderly</w:t>
      </w:r>
      <w:r w:rsidR="00100293">
        <w:rPr>
          <w:rFonts w:ascii="Times New Roman" w:hAnsi="Times New Roman"/>
        </w:rPr>
        <w:t xml:space="preserve"> </w:t>
      </w:r>
      <w:r w:rsidR="005D462E">
        <w:rPr>
          <w:rFonts w:ascii="Times New Roman" w:hAnsi="Times New Roman"/>
        </w:rPr>
        <w:t xml:space="preserve">and Medicare </w:t>
      </w:r>
      <w:r w:rsidR="00907D78">
        <w:rPr>
          <w:rFonts w:ascii="Times New Roman" w:hAnsi="Times New Roman"/>
        </w:rPr>
        <w:t>population</w:t>
      </w:r>
      <w:r w:rsidR="00100293">
        <w:rPr>
          <w:rFonts w:ascii="Times New Roman" w:hAnsi="Times New Roman"/>
        </w:rPr>
        <w:t xml:space="preserve">, uninsured </w:t>
      </w:r>
      <w:r w:rsidR="00972516">
        <w:rPr>
          <w:rFonts w:ascii="Times New Roman" w:hAnsi="Times New Roman"/>
        </w:rPr>
        <w:t xml:space="preserve">&lt;65 years old </w:t>
      </w:r>
      <w:r w:rsidR="00100293">
        <w:rPr>
          <w:rFonts w:ascii="Times New Roman" w:hAnsi="Times New Roman"/>
        </w:rPr>
        <w:t>and unemployed</w:t>
      </w:r>
      <w:r w:rsidR="005D462E">
        <w:rPr>
          <w:rFonts w:ascii="Times New Roman" w:hAnsi="Times New Roman"/>
        </w:rPr>
        <w:t xml:space="preserve">, </w:t>
      </w:r>
      <w:r w:rsidR="00100293">
        <w:rPr>
          <w:rFonts w:ascii="Times New Roman" w:hAnsi="Times New Roman"/>
        </w:rPr>
        <w:t xml:space="preserve">and </w:t>
      </w:r>
      <w:r w:rsidR="00CE2A59">
        <w:rPr>
          <w:rFonts w:ascii="Times New Roman" w:hAnsi="Times New Roman"/>
        </w:rPr>
        <w:t>income</w:t>
      </w:r>
      <w:r w:rsidR="000555BA">
        <w:rPr>
          <w:rFonts w:ascii="Times New Roman" w:hAnsi="Times New Roman"/>
        </w:rPr>
        <w:t xml:space="preserve"> and poverty</w:t>
      </w:r>
      <w:r w:rsidR="00100293">
        <w:rPr>
          <w:rFonts w:ascii="Times New Roman" w:hAnsi="Times New Roman"/>
        </w:rPr>
        <w:t xml:space="preserve">. Hence, </w:t>
      </w:r>
      <w:r w:rsidR="000555BA">
        <w:rPr>
          <w:rFonts w:ascii="Times New Roman" w:hAnsi="Times New Roman"/>
        </w:rPr>
        <w:t xml:space="preserve">the covariates with the highest VIFs (elderly, uninsured, and income) were </w:t>
      </w:r>
      <w:r w:rsidR="000F4304">
        <w:rPr>
          <w:rFonts w:ascii="Times New Roman" w:hAnsi="Times New Roman"/>
        </w:rPr>
        <w:t>removed</w:t>
      </w:r>
      <w:r w:rsidR="00A46F6B">
        <w:rPr>
          <w:rFonts w:ascii="Times New Roman" w:hAnsi="Times New Roman"/>
        </w:rPr>
        <w:t xml:space="preserve"> to leave the</w:t>
      </w:r>
      <w:r w:rsidR="000555BA">
        <w:rPr>
          <w:rFonts w:ascii="Times New Roman" w:hAnsi="Times New Roman"/>
        </w:rPr>
        <w:t>ir</w:t>
      </w:r>
      <w:r w:rsidR="00A46F6B">
        <w:rPr>
          <w:rFonts w:ascii="Times New Roman" w:hAnsi="Times New Roman"/>
        </w:rPr>
        <w:t xml:space="preserve"> collinear variables with lowe</w:t>
      </w:r>
      <w:r w:rsidR="000555BA">
        <w:rPr>
          <w:rFonts w:ascii="Times New Roman" w:hAnsi="Times New Roman"/>
        </w:rPr>
        <w:t>r</w:t>
      </w:r>
      <w:r w:rsidR="00A46F6B">
        <w:rPr>
          <w:rFonts w:ascii="Times New Roman" w:hAnsi="Times New Roman"/>
        </w:rPr>
        <w:t xml:space="preserve"> VIFs</w:t>
      </w:r>
      <w:r w:rsidR="00B75F7D">
        <w:rPr>
          <w:rFonts w:ascii="Times New Roman" w:hAnsi="Times New Roman"/>
        </w:rPr>
        <w:t xml:space="preserve"> (Medicare, unemployed, and poverty)</w:t>
      </w:r>
      <w:r w:rsidR="00A22876">
        <w:rPr>
          <w:rFonts w:ascii="Times New Roman" w:hAnsi="Times New Roman"/>
        </w:rPr>
        <w:t xml:space="preserve"> in the final </w:t>
      </w:r>
      <w:r w:rsidR="003E4776">
        <w:rPr>
          <w:rFonts w:ascii="Times New Roman" w:hAnsi="Times New Roman"/>
        </w:rPr>
        <w:t>specification</w:t>
      </w:r>
      <w:r w:rsidR="00B75F7D">
        <w:rPr>
          <w:rFonts w:ascii="Times New Roman" w:hAnsi="Times New Roman"/>
        </w:rPr>
        <w:t>, which enabled the model to have all covariates with VIF&lt;</w:t>
      </w:r>
      <w:r w:rsidR="00E074F8">
        <w:rPr>
          <w:rFonts w:ascii="Times New Roman" w:hAnsi="Times New Roman"/>
        </w:rPr>
        <w:t>3</w:t>
      </w:r>
      <w:r w:rsidR="003E4776">
        <w:rPr>
          <w:rFonts w:ascii="Times New Roman" w:hAnsi="Times New Roman"/>
        </w:rPr>
        <w:t xml:space="preserve"> in the final specification</w:t>
      </w:r>
      <w:r w:rsidR="000F4304">
        <w:rPr>
          <w:rFonts w:ascii="Times New Roman" w:hAnsi="Times New Roman"/>
        </w:rPr>
        <w:t>.</w:t>
      </w:r>
    </w:p>
    <w:p w14:paraId="708ECA90" w14:textId="77777777" w:rsidR="000E1CAF" w:rsidRDefault="000E1CAF" w:rsidP="00EB1580">
      <w:pPr>
        <w:spacing w:line="360" w:lineRule="auto"/>
        <w:rPr>
          <w:rFonts w:ascii="Times New Roman" w:hAnsi="Times New Roman"/>
        </w:rPr>
      </w:pPr>
    </w:p>
    <w:p w14:paraId="044D28B5" w14:textId="6BD8ABDB" w:rsidR="000E1CAF" w:rsidRPr="000E1CAF" w:rsidRDefault="000E1CAF" w:rsidP="00EB1580">
      <w:pPr>
        <w:spacing w:line="360" w:lineRule="auto"/>
        <w:rPr>
          <w:rFonts w:ascii="Times New Roman" w:hAnsi="Times New Roman"/>
          <w:i/>
        </w:rPr>
      </w:pPr>
      <w:r>
        <w:rPr>
          <w:rFonts w:ascii="Times New Roman" w:hAnsi="Times New Roman"/>
          <w:i/>
        </w:rPr>
        <w:t>Robu</w:t>
      </w:r>
      <w:r w:rsidR="00693A92">
        <w:rPr>
          <w:rFonts w:ascii="Times New Roman" w:hAnsi="Times New Roman"/>
          <w:i/>
        </w:rPr>
        <w:t>stness and falsification tests</w:t>
      </w:r>
    </w:p>
    <w:p w14:paraId="19AF384F" w14:textId="3FB5E0C5" w:rsidR="000E1CAF" w:rsidRDefault="000E1CAF" w:rsidP="00EB1580">
      <w:pPr>
        <w:spacing w:line="360" w:lineRule="auto"/>
        <w:rPr>
          <w:rFonts w:ascii="Times New Roman" w:hAnsi="Times New Roman"/>
        </w:rPr>
      </w:pPr>
      <w:r>
        <w:rPr>
          <w:rFonts w:ascii="Times New Roman" w:hAnsi="Times New Roman"/>
        </w:rPr>
        <w:tab/>
        <w:t xml:space="preserve">To assess robustness, a secondary </w:t>
      </w:r>
      <w:r w:rsidR="00812C8D">
        <w:rPr>
          <w:rFonts w:ascii="Times New Roman" w:hAnsi="Times New Roman"/>
        </w:rPr>
        <w:t xml:space="preserve">pre-specific </w:t>
      </w:r>
      <w:r>
        <w:rPr>
          <w:rFonts w:ascii="Times New Roman" w:hAnsi="Times New Roman"/>
        </w:rPr>
        <w:t xml:space="preserve">model was a </w:t>
      </w:r>
      <w:r w:rsidR="0044733A">
        <w:rPr>
          <w:rFonts w:ascii="Times New Roman" w:hAnsi="Times New Roman"/>
        </w:rPr>
        <w:t xml:space="preserve">dynamic </w:t>
      </w:r>
      <w:r>
        <w:rPr>
          <w:rFonts w:ascii="Times New Roman" w:hAnsi="Times New Roman"/>
        </w:rPr>
        <w:t xml:space="preserve">first differences </w:t>
      </w:r>
      <w:r w:rsidR="0044733A">
        <w:rPr>
          <w:rFonts w:ascii="Times New Roman" w:hAnsi="Times New Roman"/>
        </w:rPr>
        <w:t xml:space="preserve">panel regression </w:t>
      </w:r>
      <w:r>
        <w:rPr>
          <w:rFonts w:ascii="Times New Roman" w:hAnsi="Times New Roman"/>
        </w:rPr>
        <w:t>model:</w:t>
      </w:r>
    </w:p>
    <w:p w14:paraId="62E1C084" w14:textId="7A6EA88D" w:rsidR="000E1CAF" w:rsidRDefault="000E1CAF" w:rsidP="00EB1580">
      <w:pPr>
        <w:spacing w:line="360" w:lineRule="auto"/>
        <w:rPr>
          <w:rFonts w:ascii="Times New Roman" w:hAnsi="Times New Roman"/>
        </w:rPr>
      </w:pPr>
      <w:r>
        <w:rPr>
          <w:rFonts w:ascii="Times New Roman" w:hAnsi="Times New Roman"/>
        </w:rPr>
        <w:t>[Eq. 2]</w:t>
      </w:r>
      <w:r>
        <w:rPr>
          <w:rFonts w:ascii="Times New Roman" w:hAnsi="Times New Roman"/>
        </w:rPr>
        <w:tab/>
      </w:r>
      <w:r>
        <w:rPr>
          <w:rFonts w:ascii="Times New Roman" w:hAnsi="Times New Roman"/>
        </w:rPr>
        <w:tab/>
      </w:r>
      <m:oMath>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Δ</m:t>
            </m:r>
            <m:r>
              <m:rPr>
                <m:sty m:val="bi"/>
              </m:rPr>
              <w:rPr>
                <w:rFonts w:ascii="Cambria Math" w:hAnsi="Cambria Math"/>
              </w:rPr>
              <m:t>X</m:t>
            </m:r>
          </m:e>
          <m:sub>
            <m:r>
              <w:rPr>
                <w:rFonts w:ascii="Cambria Math" w:hAnsi="Cambria Math"/>
              </w:rPr>
              <m:t>it</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4E44E2">
        <w:rPr>
          <w:rFonts w:ascii="Times New Roman" w:hAnsi="Times New Roman"/>
        </w:rPr>
        <w:t>,</w:t>
      </w:r>
    </w:p>
    <w:p w14:paraId="272C256E" w14:textId="589B031E" w:rsidR="00141622" w:rsidRDefault="00D201EF" w:rsidP="00EB1580">
      <w:pPr>
        <w:spacing w:line="360" w:lineRule="auto"/>
        <w:rPr>
          <w:rFonts w:ascii="Times New Roman" w:hAnsi="Times New Roman"/>
        </w:rPr>
      </w:pPr>
      <w:r>
        <w:rPr>
          <w:rFonts w:ascii="Times New Roman" w:hAnsi="Times New Roman"/>
        </w:rPr>
        <w:t>The first differences model regress</w:t>
      </w:r>
      <w:r w:rsidR="00141622">
        <w:rPr>
          <w:rFonts w:ascii="Times New Roman" w:hAnsi="Times New Roman"/>
        </w:rPr>
        <w:t>e</w:t>
      </w:r>
      <w:r>
        <w:rPr>
          <w:rFonts w:ascii="Times New Roman" w:hAnsi="Times New Roman"/>
        </w:rPr>
        <w:t>s between-period changes in each variable within a county. In the absence of bias due to e</w:t>
      </w:r>
      <w:r w:rsidR="00D87991">
        <w:rPr>
          <w:rFonts w:ascii="Times New Roman" w:hAnsi="Times New Roman"/>
        </w:rPr>
        <w:t>ndogeneity, the point</w:t>
      </w:r>
      <w:r>
        <w:rPr>
          <w:rFonts w:ascii="Times New Roman" w:hAnsi="Times New Roman"/>
        </w:rPr>
        <w:t xml:space="preserve"> estimates of the coefficients from the fixed effects and the first differences regressions should not significantly differ, as each regression is attempting to remove </w:t>
      </w:r>
      <w:r w:rsidR="00E92842">
        <w:rPr>
          <w:rFonts w:ascii="Times New Roman" w:hAnsi="Times New Roman"/>
        </w:rPr>
        <w:t xml:space="preserve">unobserved </w:t>
      </w:r>
      <w:r w:rsidR="00426133">
        <w:rPr>
          <w:rFonts w:ascii="Times New Roman" w:hAnsi="Times New Roman"/>
        </w:rPr>
        <w:t xml:space="preserve">time-invariant </w:t>
      </w:r>
      <w:r>
        <w:rPr>
          <w:rFonts w:ascii="Times New Roman" w:hAnsi="Times New Roman"/>
        </w:rPr>
        <w:t>confounding effect</w:t>
      </w:r>
      <w:r w:rsidR="00D87991">
        <w:rPr>
          <w:rFonts w:ascii="Times New Roman" w:hAnsi="Times New Roman"/>
        </w:rPr>
        <w:t>s</w:t>
      </w:r>
      <w:r>
        <w:rPr>
          <w:rFonts w:ascii="Times New Roman" w:hAnsi="Times New Roman"/>
        </w:rPr>
        <w:t xml:space="preserve"> within</w:t>
      </w:r>
      <w:r w:rsidR="00EE305D">
        <w:rPr>
          <w:rFonts w:ascii="Times New Roman" w:hAnsi="Times New Roman"/>
        </w:rPr>
        <w:t xml:space="preserve"> counties over time.</w:t>
      </w:r>
      <w:r w:rsidR="006B04C0">
        <w:rPr>
          <w:rFonts w:ascii="Times New Roman" w:hAnsi="Times New Roman"/>
        </w:rPr>
        <w:t xml:space="preserve"> </w:t>
      </w:r>
      <w:r w:rsidR="00141622">
        <w:rPr>
          <w:rFonts w:ascii="Times New Roman" w:hAnsi="Times New Roman"/>
        </w:rPr>
        <w:t xml:space="preserve">An additional </w:t>
      </w:r>
      <w:r w:rsidR="006B04C0">
        <w:rPr>
          <w:rFonts w:ascii="Times New Roman" w:hAnsi="Times New Roman"/>
        </w:rPr>
        <w:t>of specification</w:t>
      </w:r>
      <w:r w:rsidR="00141622">
        <w:rPr>
          <w:rFonts w:ascii="Times New Roman" w:hAnsi="Times New Roman"/>
        </w:rPr>
        <w:t xml:space="preserve"> </w:t>
      </w:r>
      <w:r w:rsidR="00713E4C">
        <w:rPr>
          <w:rFonts w:ascii="Times New Roman" w:hAnsi="Times New Roman"/>
        </w:rPr>
        <w:t>applied</w:t>
      </w:r>
      <w:r w:rsidR="00141622">
        <w:rPr>
          <w:rFonts w:ascii="Times New Roman" w:hAnsi="Times New Roman"/>
        </w:rPr>
        <w:t xml:space="preserve"> </w:t>
      </w:r>
      <w:r w:rsidR="00580392">
        <w:rPr>
          <w:rFonts w:ascii="Times New Roman" w:hAnsi="Times New Roman"/>
        </w:rPr>
        <w:t xml:space="preserve">a </w:t>
      </w:r>
      <w:r w:rsidR="006B04C0">
        <w:rPr>
          <w:rFonts w:ascii="Times New Roman" w:hAnsi="Times New Roman"/>
        </w:rPr>
        <w:t>single period</w:t>
      </w:r>
      <w:r w:rsidR="004E74B6">
        <w:rPr>
          <w:rFonts w:ascii="Times New Roman" w:hAnsi="Times New Roman"/>
        </w:rPr>
        <w:t xml:space="preserve"> (5-year) </w:t>
      </w:r>
      <w:r w:rsidR="00580392">
        <w:rPr>
          <w:rFonts w:ascii="Times New Roman" w:hAnsi="Times New Roman"/>
        </w:rPr>
        <w:t>lag</w:t>
      </w:r>
      <w:r w:rsidR="00141622">
        <w:rPr>
          <w:rFonts w:ascii="Times New Roman" w:hAnsi="Times New Roman"/>
        </w:rPr>
        <w:t xml:space="preserve"> between the independent variables and the dependent outcome variables.</w:t>
      </w:r>
    </w:p>
    <w:p w14:paraId="11CE001A" w14:textId="0FD39DC7" w:rsidR="00141622" w:rsidRDefault="00141622" w:rsidP="00EB1580">
      <w:pPr>
        <w:spacing w:line="360" w:lineRule="auto"/>
        <w:rPr>
          <w:rFonts w:ascii="Times New Roman" w:hAnsi="Times New Roman"/>
        </w:rPr>
      </w:pPr>
      <w:r>
        <w:rPr>
          <w:rFonts w:ascii="Times New Roman" w:hAnsi="Times New Roman"/>
        </w:rPr>
        <w:lastRenderedPageBreak/>
        <w:tab/>
        <w:t>Finally, two falsification tests were performed by regressing the independent variables against two dependent outcome variables that would not be expected to have significant relationships to primary care physician density: mortality rates from interpersonal violence (e.g., murder)</w:t>
      </w:r>
      <w:r w:rsidR="00244DA6">
        <w:rPr>
          <w:rFonts w:ascii="Times New Roman" w:hAnsi="Times New Roman"/>
        </w:rPr>
        <w:t xml:space="preserve"> that are classified within the larger group of injury deaths</w:t>
      </w:r>
      <w:r>
        <w:rPr>
          <w:rFonts w:ascii="Times New Roman" w:hAnsi="Times New Roman"/>
        </w:rPr>
        <w:t xml:space="preserve">, and mortality rates from </w:t>
      </w:r>
      <w:r w:rsidR="007C686B">
        <w:rPr>
          <w:rFonts w:ascii="Times New Roman" w:hAnsi="Times New Roman"/>
        </w:rPr>
        <w:t>age-adjusted motor vehicle transport accident mortality rates</w:t>
      </w:r>
      <w:r w:rsidR="007C686B">
        <w:rPr>
          <w:rFonts w:ascii="Times New Roman" w:hAnsi="Times New Roman"/>
        </w:rPr>
        <w:t xml:space="preserve"> </w:t>
      </w:r>
      <w:r w:rsidR="007C686B">
        <w:rPr>
          <w:rFonts w:ascii="Times New Roman" w:hAnsi="Times New Roman"/>
        </w:rPr>
        <w:t>obtained from the CDC Wonder Database</w:t>
      </w:r>
      <w:r>
        <w:rPr>
          <w:rFonts w:ascii="Times New Roman" w:hAnsi="Times New Roman"/>
        </w:rPr>
        <w:t>.</w:t>
      </w:r>
      <w:r w:rsidR="00810151">
        <w:rPr>
          <w:rFonts w:ascii="Times New Roman" w:hAnsi="Times New Roman"/>
        </w:rPr>
        <w:fldChar w:fldCharType="begin" w:fldLock="1"/>
      </w:r>
      <w:r w:rsidR="006B0760">
        <w:rPr>
          <w:rFonts w:ascii="Times New Roman" w:hAnsi="Times New Roman"/>
        </w:rPr>
        <w:instrText>ADDIN CSL_CITATION { "citationItems" : [ { "id" : "ITEM-1", "itemData" : { "author" : [ { "dropping-particle" : "", "family" : "Wichers", "given" : "CR", "non-dropping-particle" : "", "parse-names" : false, "suffix" : "" } ], "container-title" : "The Review of Economics and Statistics", "id" : "ITEM-1", "issue" : "3", "issued" : { "date-parts" : [ [ "1975" ] ] }, "page" : "366-8", "title" : "The detection of multicollinearity", "type" : "article-journal", "volume" : "57" }, "uris" : [ "http://www.mendeley.com/documents/?uuid=3a401446-9429-3949-afbc-741b65560fff" ] } ], "mendeley" : { "formattedCitation" : "&lt;sup&gt;30&lt;/sup&gt;", "plainTextFormattedCitation" : "30", "previouslyFormattedCitation" : "&lt;sup&gt;30&lt;/sup&gt;" }, "properties" : {  }, "schema" : "https://github.com/citation-style-language/schema/raw/master/csl-citation.json" }</w:instrText>
      </w:r>
      <w:r w:rsidR="00810151">
        <w:rPr>
          <w:rFonts w:ascii="Times New Roman" w:hAnsi="Times New Roman"/>
        </w:rPr>
        <w:fldChar w:fldCharType="separate"/>
      </w:r>
      <w:r w:rsidR="006B0760" w:rsidRPr="006B0760">
        <w:rPr>
          <w:rFonts w:ascii="Times New Roman" w:hAnsi="Times New Roman"/>
          <w:noProof/>
          <w:vertAlign w:val="superscript"/>
        </w:rPr>
        <w:t>30</w:t>
      </w:r>
      <w:r w:rsidR="00810151">
        <w:rPr>
          <w:rFonts w:ascii="Times New Roman" w:hAnsi="Times New Roman"/>
        </w:rPr>
        <w:fldChar w:fldCharType="end"/>
      </w:r>
      <w:r>
        <w:rPr>
          <w:rFonts w:ascii="Times New Roman" w:hAnsi="Times New Roman"/>
        </w:rPr>
        <w:t xml:space="preserve"> These falsification tests help to test whether unobserved factors, such as the propensity for physicians to move to desirable areas that may have populations or </w:t>
      </w:r>
      <w:r w:rsidR="00840244">
        <w:rPr>
          <w:rFonts w:ascii="Times New Roman" w:hAnsi="Times New Roman"/>
        </w:rPr>
        <w:t xml:space="preserve">neighborhood </w:t>
      </w:r>
      <w:r>
        <w:rPr>
          <w:rFonts w:ascii="Times New Roman" w:hAnsi="Times New Roman"/>
        </w:rPr>
        <w:t>features correlated to lower mortality rates, would produce false associations between primary care p</w:t>
      </w:r>
      <w:r w:rsidR="00817EE1">
        <w:rPr>
          <w:rFonts w:ascii="Times New Roman" w:hAnsi="Times New Roman"/>
        </w:rPr>
        <w:t>hysician density and the outcome variables</w:t>
      </w:r>
      <w:r>
        <w:rPr>
          <w:rFonts w:ascii="Times New Roman" w:hAnsi="Times New Roman"/>
        </w:rPr>
        <w:t xml:space="preserve">. </w:t>
      </w:r>
    </w:p>
    <w:p w14:paraId="1B7ADCB6" w14:textId="68A761B7" w:rsidR="00266DF5" w:rsidRPr="00BE2CD4" w:rsidRDefault="00266DF5" w:rsidP="00EB1580">
      <w:pPr>
        <w:spacing w:line="360" w:lineRule="auto"/>
        <w:rPr>
          <w:rFonts w:ascii="Times New Roman" w:hAnsi="Times New Roman"/>
        </w:rPr>
      </w:pPr>
      <w:r>
        <w:rPr>
          <w:rFonts w:ascii="Times New Roman" w:hAnsi="Times New Roman"/>
        </w:rPr>
        <w:tab/>
        <w:t xml:space="preserve">Analyses were performed in </w:t>
      </w:r>
      <w:r>
        <w:rPr>
          <w:rFonts w:ascii="Times New Roman" w:hAnsi="Times New Roman"/>
          <w:i/>
        </w:rPr>
        <w:t>R</w:t>
      </w:r>
      <w:r>
        <w:rPr>
          <w:rFonts w:ascii="Times New Roman" w:hAnsi="Times New Roman"/>
        </w:rPr>
        <w:t xml:space="preserve"> v. 3.4.3 (</w:t>
      </w:r>
      <w:r>
        <w:rPr>
          <w:rFonts w:ascii="Times New Roman" w:hAnsi="Times New Roman"/>
          <w:i/>
        </w:rPr>
        <w:t>R</w:t>
      </w:r>
      <w:r>
        <w:rPr>
          <w:rFonts w:ascii="Times New Roman" w:hAnsi="Times New Roman"/>
        </w:rPr>
        <w:t xml:space="preserve"> Foundation for Statistical Computing, Vienna)</w:t>
      </w:r>
      <w:r w:rsidR="00060E59">
        <w:rPr>
          <w:rFonts w:ascii="Times New Roman" w:hAnsi="Times New Roman"/>
        </w:rPr>
        <w:t xml:space="preserve">, using the statistical code deposited at </w:t>
      </w:r>
      <w:r w:rsidR="000A4850" w:rsidRPr="000A4850">
        <w:rPr>
          <w:rFonts w:ascii="Times New Roman" w:hAnsi="Times New Roman"/>
        </w:rPr>
        <w:t>https://</w:t>
      </w:r>
      <w:r w:rsidR="00710EC6">
        <w:rPr>
          <w:rFonts w:ascii="Times New Roman" w:hAnsi="Times New Roman"/>
        </w:rPr>
        <w:t>sdr.stanford.edu.</w:t>
      </w:r>
    </w:p>
    <w:p w14:paraId="49052DA3" w14:textId="77777777" w:rsidR="00EB1580" w:rsidRPr="004C2EB7" w:rsidRDefault="00EB1580" w:rsidP="00EB1580">
      <w:pPr>
        <w:spacing w:line="360" w:lineRule="auto"/>
        <w:rPr>
          <w:rFonts w:ascii="Times New Roman" w:hAnsi="Times New Roman"/>
          <w:b/>
        </w:rPr>
      </w:pPr>
      <w:r w:rsidRPr="004C2EB7">
        <w:rPr>
          <w:rFonts w:ascii="Times New Roman" w:hAnsi="Times New Roman"/>
        </w:rPr>
        <w:br w:type="column"/>
      </w:r>
      <w:r w:rsidRPr="004C2EB7">
        <w:rPr>
          <w:rFonts w:ascii="Times New Roman" w:hAnsi="Times New Roman"/>
          <w:b/>
        </w:rPr>
        <w:lastRenderedPageBreak/>
        <w:t>Results</w:t>
      </w:r>
    </w:p>
    <w:p w14:paraId="7F4573AD" w14:textId="51C97A41" w:rsidR="00EB1580" w:rsidRDefault="00D124D4" w:rsidP="00EB1580">
      <w:pPr>
        <w:spacing w:line="360" w:lineRule="auto"/>
        <w:rPr>
          <w:rFonts w:ascii="Times New Roman" w:hAnsi="Times New Roman"/>
          <w:i/>
        </w:rPr>
      </w:pPr>
      <w:r>
        <w:rPr>
          <w:rFonts w:ascii="Times New Roman" w:hAnsi="Times New Roman"/>
          <w:i/>
        </w:rPr>
        <w:t>Changes in p</w:t>
      </w:r>
      <w:r w:rsidRPr="00D124D4">
        <w:rPr>
          <w:rFonts w:ascii="Times New Roman" w:hAnsi="Times New Roman"/>
          <w:i/>
        </w:rPr>
        <w:t>rimary care physician density</w:t>
      </w:r>
      <w:r>
        <w:rPr>
          <w:rFonts w:ascii="Times New Roman" w:hAnsi="Times New Roman"/>
          <w:i/>
        </w:rPr>
        <w:t xml:space="preserve"> over time and space</w:t>
      </w:r>
    </w:p>
    <w:p w14:paraId="1C7BBB34" w14:textId="14E30054" w:rsidR="00D124D4" w:rsidRDefault="00B870B5" w:rsidP="00EB1580">
      <w:pPr>
        <w:spacing w:line="360" w:lineRule="auto"/>
        <w:rPr>
          <w:rFonts w:ascii="Times New Roman" w:hAnsi="Times New Roman"/>
        </w:rPr>
      </w:pPr>
      <w:r>
        <w:rPr>
          <w:rFonts w:ascii="Times New Roman" w:hAnsi="Times New Roman"/>
        </w:rPr>
        <w:tab/>
      </w:r>
      <w:r w:rsidR="00F528A8">
        <w:rPr>
          <w:rFonts w:ascii="Times New Roman" w:hAnsi="Times New Roman"/>
        </w:rPr>
        <w:t>Primary care physician density decreased from 4.1 (95% CI: 0, 9.7</w:t>
      </w:r>
      <w:r w:rsidR="00A57EE7">
        <w:rPr>
          <w:rFonts w:ascii="Times New Roman" w:hAnsi="Times New Roman"/>
        </w:rPr>
        <w:t>, median 3.8</w:t>
      </w:r>
      <w:r w:rsidR="00F528A8">
        <w:rPr>
          <w:rFonts w:ascii="Times New Roman" w:hAnsi="Times New Roman"/>
        </w:rPr>
        <w:t xml:space="preserve">) per 10,000 population in 2005 </w:t>
      </w:r>
      <w:r w:rsidR="004A3DD2">
        <w:rPr>
          <w:rFonts w:ascii="Times New Roman" w:hAnsi="Times New Roman"/>
        </w:rPr>
        <w:t xml:space="preserve">to </w:t>
      </w:r>
      <w:r w:rsidR="004630AD">
        <w:rPr>
          <w:rFonts w:ascii="Times New Roman" w:hAnsi="Times New Roman"/>
        </w:rPr>
        <w:t xml:space="preserve">3.8 (95% CI: 0, </w:t>
      </w:r>
      <w:r w:rsidR="00A16843">
        <w:rPr>
          <w:rFonts w:ascii="Times New Roman" w:hAnsi="Times New Roman"/>
        </w:rPr>
        <w:t>9.7</w:t>
      </w:r>
      <w:r w:rsidR="00A57EE7">
        <w:rPr>
          <w:rFonts w:ascii="Times New Roman" w:hAnsi="Times New Roman"/>
        </w:rPr>
        <w:t>, median 3.5</w:t>
      </w:r>
      <w:r w:rsidR="00A16843">
        <w:rPr>
          <w:rFonts w:ascii="Times New Roman" w:hAnsi="Times New Roman"/>
        </w:rPr>
        <w:t xml:space="preserve">) per 10,000 </w:t>
      </w:r>
      <w:r w:rsidR="00F528A8">
        <w:rPr>
          <w:rFonts w:ascii="Times New Roman" w:hAnsi="Times New Roman"/>
        </w:rPr>
        <w:t>to 3.6 (95% CI: 0, 9.4</w:t>
      </w:r>
      <w:r w:rsidR="00A57EE7">
        <w:rPr>
          <w:rFonts w:ascii="Times New Roman" w:hAnsi="Times New Roman"/>
        </w:rPr>
        <w:t>, median 3.2</w:t>
      </w:r>
      <w:r w:rsidR="00F528A8">
        <w:rPr>
          <w:rFonts w:ascii="Times New Roman" w:hAnsi="Times New Roman"/>
        </w:rPr>
        <w:t>) per 10,000 in 2015, with rural and lower-income counties experiencing disproportionate losses</w:t>
      </w:r>
      <w:r w:rsidR="00EC14AE">
        <w:rPr>
          <w:rFonts w:ascii="Times New Roman" w:hAnsi="Times New Roman"/>
        </w:rPr>
        <w:t xml:space="preserve"> (</w:t>
      </w:r>
      <w:r w:rsidR="00EC14AE">
        <w:rPr>
          <w:rFonts w:ascii="Times New Roman" w:hAnsi="Times New Roman"/>
          <w:b/>
        </w:rPr>
        <w:t>Figures 1 and 2</w:t>
      </w:r>
      <w:r w:rsidR="00EC14AE">
        <w:rPr>
          <w:rFonts w:ascii="Times New Roman" w:hAnsi="Times New Roman"/>
        </w:rPr>
        <w:t>)</w:t>
      </w:r>
      <w:r w:rsidR="00F528A8">
        <w:rPr>
          <w:rFonts w:ascii="Times New Roman" w:hAnsi="Times New Roman"/>
        </w:rPr>
        <w:t>.</w:t>
      </w:r>
      <w:r w:rsidR="00E82977">
        <w:rPr>
          <w:rFonts w:ascii="Times New Roman" w:hAnsi="Times New Roman"/>
        </w:rPr>
        <w:t xml:space="preserve"> Primary care physician density decreased </w:t>
      </w:r>
      <w:r w:rsidR="00D40D8F">
        <w:rPr>
          <w:rFonts w:ascii="Times New Roman" w:hAnsi="Times New Roman"/>
        </w:rPr>
        <w:t xml:space="preserve">by </w:t>
      </w:r>
      <w:r w:rsidR="00E82977">
        <w:rPr>
          <w:rFonts w:ascii="Times New Roman" w:hAnsi="Times New Roman"/>
        </w:rPr>
        <w:t>on average 0.5 physicians per 10,000 population within counties in the U.S. overall</w:t>
      </w:r>
      <w:r w:rsidR="0099635C">
        <w:rPr>
          <w:rFonts w:ascii="Times New Roman" w:hAnsi="Times New Roman"/>
        </w:rPr>
        <w:t xml:space="preserve"> </w:t>
      </w:r>
      <w:r w:rsidR="00D40D8F">
        <w:rPr>
          <w:rFonts w:ascii="Times New Roman" w:hAnsi="Times New Roman"/>
        </w:rPr>
        <w:t xml:space="preserve">during the period 2005 to 2015 </w:t>
      </w:r>
      <w:r w:rsidR="0099635C">
        <w:rPr>
          <w:rFonts w:ascii="Times New Roman" w:hAnsi="Times New Roman"/>
        </w:rPr>
        <w:t>(95% CI: 4.2 decrease, 2.7 increase)</w:t>
      </w:r>
      <w:r w:rsidR="00E82977">
        <w:rPr>
          <w:rFonts w:ascii="Times New Roman" w:hAnsi="Times New Roman"/>
        </w:rPr>
        <w:t xml:space="preserve">, but decreased by 0.2 physicians </w:t>
      </w:r>
      <w:r w:rsidR="001E1456">
        <w:rPr>
          <w:rFonts w:ascii="Times New Roman" w:hAnsi="Times New Roman"/>
        </w:rPr>
        <w:t>per 10,000 population for metro</w:t>
      </w:r>
      <w:r w:rsidR="00E82977">
        <w:rPr>
          <w:rFonts w:ascii="Times New Roman" w:hAnsi="Times New Roman"/>
        </w:rPr>
        <w:t xml:space="preserve"> counties </w:t>
      </w:r>
      <w:r w:rsidR="0099635C">
        <w:rPr>
          <w:rFonts w:ascii="Times New Roman" w:hAnsi="Times New Roman"/>
        </w:rPr>
        <w:t xml:space="preserve">(95% CI: 2.3 decrease, 1.8 increase), </w:t>
      </w:r>
      <w:r w:rsidR="00E82977">
        <w:rPr>
          <w:rFonts w:ascii="Times New Roman" w:hAnsi="Times New Roman"/>
        </w:rPr>
        <w:t>versus 0.7 among non-metro counties</w:t>
      </w:r>
      <w:r w:rsidR="0099635C">
        <w:rPr>
          <w:rFonts w:ascii="Times New Roman" w:hAnsi="Times New Roman"/>
        </w:rPr>
        <w:t xml:space="preserve"> (95% CI: 4.9 decrease, 3.2 increase).</w:t>
      </w:r>
      <w:r w:rsidR="005E2247">
        <w:rPr>
          <w:rFonts w:ascii="Times New Roman" w:hAnsi="Times New Roman"/>
        </w:rPr>
        <w:t xml:space="preserve"> Primary care physician density </w:t>
      </w:r>
      <w:r w:rsidR="009855AE">
        <w:rPr>
          <w:rFonts w:ascii="Times New Roman" w:hAnsi="Times New Roman"/>
        </w:rPr>
        <w:t xml:space="preserve">decreased </w:t>
      </w:r>
      <w:r w:rsidR="004414EB">
        <w:rPr>
          <w:rFonts w:ascii="Times New Roman" w:hAnsi="Times New Roman"/>
        </w:rPr>
        <w:t xml:space="preserve">on average by 0.4 physicians per 10,000 population within counties with less than the median of 16% poverty (95% CI: </w:t>
      </w:r>
      <w:r w:rsidR="00C24A03">
        <w:rPr>
          <w:rFonts w:ascii="Times New Roman" w:hAnsi="Times New Roman"/>
        </w:rPr>
        <w:t xml:space="preserve">4.0 decrease, 2.1 increase), versus 0.6 within counties with higher than the median of 16% poverty (95% CI: 4.9 decrease, 3.2 increase). Density did not disproportionately change among counties with lower versus higher </w:t>
      </w:r>
      <w:r w:rsidR="00DD000E">
        <w:rPr>
          <w:rFonts w:ascii="Times New Roman" w:hAnsi="Times New Roman"/>
        </w:rPr>
        <w:t>rate</w:t>
      </w:r>
      <w:r w:rsidR="00E73D20">
        <w:rPr>
          <w:rFonts w:ascii="Times New Roman" w:hAnsi="Times New Roman"/>
        </w:rPr>
        <w:t>s</w:t>
      </w:r>
      <w:r w:rsidR="00C24A03">
        <w:rPr>
          <w:rFonts w:ascii="Times New Roman" w:hAnsi="Times New Roman"/>
        </w:rPr>
        <w:t xml:space="preserve"> of Black or Hispanic minorities</w:t>
      </w:r>
      <w:r w:rsidR="00E73D20">
        <w:rPr>
          <w:rFonts w:ascii="Times New Roman" w:hAnsi="Times New Roman"/>
        </w:rPr>
        <w:t xml:space="preserve"> (</w:t>
      </w:r>
      <w:r w:rsidR="00E73D20">
        <w:rPr>
          <w:rFonts w:ascii="Times New Roman" w:hAnsi="Times New Roman"/>
          <w:b/>
        </w:rPr>
        <w:t>Figure 2</w:t>
      </w:r>
      <w:r w:rsidR="00E73D20">
        <w:rPr>
          <w:rFonts w:ascii="Times New Roman" w:hAnsi="Times New Roman"/>
        </w:rPr>
        <w:t>)</w:t>
      </w:r>
      <w:r w:rsidR="00C24A03">
        <w:rPr>
          <w:rFonts w:ascii="Times New Roman" w:hAnsi="Times New Roman"/>
        </w:rPr>
        <w:t>.</w:t>
      </w:r>
    </w:p>
    <w:p w14:paraId="284B0A78" w14:textId="77777777" w:rsidR="00B870B5" w:rsidRDefault="00B870B5" w:rsidP="00EB1580">
      <w:pPr>
        <w:spacing w:line="360" w:lineRule="auto"/>
        <w:rPr>
          <w:rFonts w:ascii="Times New Roman" w:hAnsi="Times New Roman"/>
        </w:rPr>
      </w:pPr>
    </w:p>
    <w:p w14:paraId="12640518" w14:textId="12FD76A6" w:rsidR="00142586" w:rsidRDefault="00142586" w:rsidP="00EB1580">
      <w:pPr>
        <w:spacing w:line="360" w:lineRule="auto"/>
        <w:rPr>
          <w:rFonts w:ascii="Times New Roman" w:hAnsi="Times New Roman"/>
          <w:i/>
        </w:rPr>
      </w:pPr>
      <w:r>
        <w:rPr>
          <w:rFonts w:ascii="Times New Roman" w:hAnsi="Times New Roman"/>
          <w:i/>
        </w:rPr>
        <w:t>Associations between</w:t>
      </w:r>
      <w:r w:rsidR="00B870B5">
        <w:rPr>
          <w:rFonts w:ascii="Times New Roman" w:hAnsi="Times New Roman"/>
          <w:i/>
        </w:rPr>
        <w:t xml:space="preserve"> primary care physician density and </w:t>
      </w:r>
      <w:r w:rsidR="004B3A27">
        <w:rPr>
          <w:rFonts w:ascii="Times New Roman" w:hAnsi="Times New Roman"/>
          <w:i/>
        </w:rPr>
        <w:t xml:space="preserve">life expectancy and cause-specific </w:t>
      </w:r>
      <w:r w:rsidR="00B870B5">
        <w:rPr>
          <w:rFonts w:ascii="Times New Roman" w:hAnsi="Times New Roman"/>
          <w:i/>
        </w:rPr>
        <w:t>mortality outcomes</w:t>
      </w:r>
    </w:p>
    <w:p w14:paraId="6791D710" w14:textId="0704D7FF" w:rsidR="00476017" w:rsidRDefault="004B3A27" w:rsidP="004B3A27">
      <w:pPr>
        <w:spacing w:line="360" w:lineRule="auto"/>
        <w:ind w:firstLine="720"/>
        <w:rPr>
          <w:rFonts w:ascii="Times New Roman" w:hAnsi="Times New Roman"/>
        </w:rPr>
      </w:pPr>
      <w:r>
        <w:rPr>
          <w:rFonts w:ascii="Times New Roman" w:hAnsi="Times New Roman"/>
        </w:rPr>
        <w:t xml:space="preserve">A one standard deviation </w:t>
      </w:r>
      <w:r w:rsidR="00C23E5E">
        <w:rPr>
          <w:rFonts w:ascii="Times New Roman" w:hAnsi="Times New Roman"/>
        </w:rPr>
        <w:t>(2.8</w:t>
      </w:r>
      <w:r>
        <w:rPr>
          <w:rFonts w:ascii="Times New Roman" w:hAnsi="Times New Roman"/>
        </w:rPr>
        <w:t xml:space="preserve"> physicians) increase in primary care physicians per 10,000 population was associated </w:t>
      </w:r>
      <w:r w:rsidRPr="009A10BE">
        <w:rPr>
          <w:rFonts w:ascii="Times New Roman" w:hAnsi="Times New Roman"/>
        </w:rPr>
        <w:t xml:space="preserve">with a </w:t>
      </w:r>
      <w:r w:rsidR="00DB1A33" w:rsidRPr="009A10BE">
        <w:rPr>
          <w:rFonts w:ascii="Times New Roman" w:hAnsi="Times New Roman"/>
        </w:rPr>
        <w:t>5.5</w:t>
      </w:r>
      <w:r w:rsidRPr="009A10BE">
        <w:rPr>
          <w:rFonts w:ascii="Times New Roman" w:hAnsi="Times New Roman"/>
        </w:rPr>
        <w:t xml:space="preserve"> day (95% CI: </w:t>
      </w:r>
      <w:r w:rsidR="00DB1A33" w:rsidRPr="002F1B31">
        <w:rPr>
          <w:rFonts w:ascii="Times New Roman" w:hAnsi="Times New Roman"/>
        </w:rPr>
        <w:t>0.0</w:t>
      </w:r>
      <w:r w:rsidR="004A190C" w:rsidRPr="002F1B31">
        <w:rPr>
          <w:rFonts w:ascii="Times New Roman" w:hAnsi="Times New Roman"/>
        </w:rPr>
        <w:t>1</w:t>
      </w:r>
      <w:r w:rsidR="00DB1A33" w:rsidRPr="002F1B31">
        <w:rPr>
          <w:rFonts w:ascii="Times New Roman" w:hAnsi="Times New Roman"/>
        </w:rPr>
        <w:t xml:space="preserve">, </w:t>
      </w:r>
      <w:r w:rsidR="004A190C" w:rsidRPr="002F1B31">
        <w:rPr>
          <w:rFonts w:ascii="Times New Roman" w:hAnsi="Times New Roman"/>
        </w:rPr>
        <w:t>11.0</w:t>
      </w:r>
      <w:r w:rsidR="002F1B31" w:rsidRPr="002F1B31">
        <w:rPr>
          <w:rFonts w:ascii="Times New Roman" w:hAnsi="Times New Roman"/>
        </w:rPr>
        <w:t>; P = 0.0</w:t>
      </w:r>
      <w:r w:rsidR="002F1B31">
        <w:rPr>
          <w:rFonts w:ascii="Times New Roman" w:hAnsi="Times New Roman"/>
        </w:rPr>
        <w:t>49</w:t>
      </w:r>
      <w:r w:rsidR="00DB1A33" w:rsidRPr="009A10BE">
        <w:rPr>
          <w:rFonts w:ascii="Times New Roman" w:hAnsi="Times New Roman"/>
        </w:rPr>
        <w:t xml:space="preserve">) </w:t>
      </w:r>
      <w:r w:rsidRPr="009A10BE">
        <w:rPr>
          <w:rFonts w:ascii="Times New Roman" w:hAnsi="Times New Roman"/>
        </w:rPr>
        <w:t>increase in</w:t>
      </w:r>
      <w:r>
        <w:rPr>
          <w:rFonts w:ascii="Times New Roman" w:hAnsi="Times New Roman"/>
        </w:rPr>
        <w:t xml:space="preserve"> life expectancy</w:t>
      </w:r>
      <w:r w:rsidR="00476017">
        <w:rPr>
          <w:rFonts w:ascii="Times New Roman" w:hAnsi="Times New Roman"/>
        </w:rPr>
        <w:t>, or about 2.0 days per physician</w:t>
      </w:r>
      <w:r>
        <w:rPr>
          <w:rFonts w:ascii="Times New Roman" w:hAnsi="Times New Roman"/>
        </w:rPr>
        <w:t>, after adjusting for county-level distributions of age</w:t>
      </w:r>
      <w:r w:rsidR="0072502C">
        <w:rPr>
          <w:rFonts w:ascii="Times New Roman" w:hAnsi="Times New Roman"/>
        </w:rPr>
        <w:t>, sex, race/ethnicity, poverty, e</w:t>
      </w:r>
      <w:r>
        <w:rPr>
          <w:rFonts w:ascii="Times New Roman" w:hAnsi="Times New Roman"/>
        </w:rPr>
        <w:t xml:space="preserve">ducation, employment, tobacco smoking, obesity, air pollution, urban/rural residence, standardized healthcare costs, hospital beds, density of </w:t>
      </w:r>
      <w:r w:rsidR="0072502C">
        <w:rPr>
          <w:rFonts w:ascii="Times New Roman" w:hAnsi="Times New Roman"/>
        </w:rPr>
        <w:t>non-primary care</w:t>
      </w:r>
      <w:r>
        <w:rPr>
          <w:rFonts w:ascii="Times New Roman" w:hAnsi="Times New Roman"/>
        </w:rPr>
        <w:t xml:space="preserve"> physicians, and county and time fixed effects</w:t>
      </w:r>
      <w:r w:rsidR="001C424D">
        <w:rPr>
          <w:rFonts w:ascii="Times New Roman" w:hAnsi="Times New Roman"/>
        </w:rPr>
        <w:t xml:space="preserve"> (</w:t>
      </w:r>
      <w:r w:rsidR="001C424D">
        <w:rPr>
          <w:rFonts w:ascii="Times New Roman" w:hAnsi="Times New Roman"/>
          <w:b/>
        </w:rPr>
        <w:t>Table 2</w:t>
      </w:r>
      <w:r w:rsidR="001C424D">
        <w:rPr>
          <w:rFonts w:ascii="Times New Roman" w:hAnsi="Times New Roman"/>
        </w:rPr>
        <w:t>)</w:t>
      </w:r>
      <w:r>
        <w:rPr>
          <w:rFonts w:ascii="Times New Roman" w:hAnsi="Times New Roman"/>
        </w:rPr>
        <w:t xml:space="preserve">. </w:t>
      </w:r>
      <w:r w:rsidR="00476017">
        <w:rPr>
          <w:rFonts w:ascii="Times New Roman" w:hAnsi="Times New Roman"/>
        </w:rPr>
        <w:t>Notably, the effect was smaller than a one standard deviation (11.9 physician) increase in all other types of physician per 10,000, which produced a 31.1 day (95% CI: 21.1, 41.1, P&lt;0.001) increase in life expectancy, or 2.6 days/physician.</w:t>
      </w:r>
    </w:p>
    <w:p w14:paraId="6292B32C" w14:textId="13685172" w:rsidR="00575452" w:rsidRPr="00575452" w:rsidRDefault="00E44A94" w:rsidP="00E44A94">
      <w:pPr>
        <w:spacing w:line="360" w:lineRule="auto"/>
        <w:ind w:firstLine="720"/>
        <w:rPr>
          <w:rFonts w:ascii="Times New Roman" w:hAnsi="Times New Roman"/>
        </w:rPr>
      </w:pPr>
      <w:r>
        <w:rPr>
          <w:rFonts w:ascii="Times New Roman" w:hAnsi="Times New Roman"/>
        </w:rPr>
        <w:t xml:space="preserve">Changes </w:t>
      </w:r>
      <w:r w:rsidR="00575452">
        <w:rPr>
          <w:rFonts w:ascii="Times New Roman" w:hAnsi="Times New Roman"/>
        </w:rPr>
        <w:t xml:space="preserve">in other social and economic covariates at the county level had larger associations in absolute magnitude to the </w:t>
      </w:r>
      <w:r w:rsidR="00A85940">
        <w:rPr>
          <w:rFonts w:ascii="Times New Roman" w:hAnsi="Times New Roman"/>
        </w:rPr>
        <w:t>outcome of life expectancy</w:t>
      </w:r>
      <w:r w:rsidR="00575452">
        <w:rPr>
          <w:rFonts w:ascii="Times New Roman" w:hAnsi="Times New Roman"/>
        </w:rPr>
        <w:t xml:space="preserve"> than did primary care physician density. For example, as shown in </w:t>
      </w:r>
      <w:r w:rsidR="00575452">
        <w:rPr>
          <w:rFonts w:ascii="Times New Roman" w:hAnsi="Times New Roman"/>
          <w:b/>
        </w:rPr>
        <w:t>Table 2</w:t>
      </w:r>
      <w:r w:rsidR="00575452">
        <w:rPr>
          <w:rFonts w:ascii="Times New Roman" w:hAnsi="Times New Roman"/>
        </w:rPr>
        <w:t xml:space="preserve">, </w:t>
      </w:r>
      <w:r w:rsidR="00AB7EB4">
        <w:rPr>
          <w:rFonts w:ascii="Times New Roman" w:hAnsi="Times New Roman"/>
        </w:rPr>
        <w:t xml:space="preserve">a 1 standard deviation increase </w:t>
      </w:r>
      <w:r w:rsidR="00AB7EB4">
        <w:rPr>
          <w:rFonts w:ascii="Times New Roman" w:hAnsi="Times New Roman"/>
        </w:rPr>
        <w:lastRenderedPageBreak/>
        <w:t xml:space="preserve">in the proportion of people graduating from high school (7.7 percentage points) </w:t>
      </w:r>
      <w:r w:rsidR="00E50632">
        <w:rPr>
          <w:rFonts w:ascii="Times New Roman" w:hAnsi="Times New Roman"/>
        </w:rPr>
        <w:t>improved life expectancy by 41.7 days (95% CI: 29.7</w:t>
      </w:r>
      <w:r w:rsidR="00E50632" w:rsidRPr="00E858FB">
        <w:rPr>
          <w:rFonts w:ascii="Times New Roman" w:hAnsi="Times New Roman"/>
        </w:rPr>
        <w:t>, 51.5</w:t>
      </w:r>
      <w:r w:rsidR="003D3DF0" w:rsidRPr="00E858FB">
        <w:rPr>
          <w:rFonts w:ascii="Times New Roman" w:hAnsi="Times New Roman"/>
        </w:rPr>
        <w:t>; P</w:t>
      </w:r>
      <w:r w:rsidR="00E858FB" w:rsidRPr="00E858FB">
        <w:rPr>
          <w:rFonts w:ascii="Times New Roman" w:hAnsi="Times New Roman"/>
        </w:rPr>
        <w:t>&lt;0.001</w:t>
      </w:r>
      <w:r w:rsidR="00E50632" w:rsidRPr="00E858FB">
        <w:rPr>
          <w:rFonts w:ascii="Times New Roman" w:hAnsi="Times New Roman"/>
        </w:rPr>
        <w:t>), while</w:t>
      </w:r>
      <w:r w:rsidR="00E50632">
        <w:rPr>
          <w:rFonts w:ascii="Times New Roman" w:hAnsi="Times New Roman"/>
        </w:rPr>
        <w:t xml:space="preserve"> a 1 standard deviation increase in tobacco smoking (4.3 percentage points) reduced life expectancy by 20.3 days (95% CI: 15.0, 25.6</w:t>
      </w:r>
      <w:r w:rsidR="00E858FB" w:rsidRPr="00E858FB">
        <w:rPr>
          <w:rFonts w:ascii="Times New Roman" w:hAnsi="Times New Roman"/>
        </w:rPr>
        <w:t>; P&lt;0.001</w:t>
      </w:r>
      <w:r w:rsidR="00E50632">
        <w:rPr>
          <w:rFonts w:ascii="Times New Roman" w:hAnsi="Times New Roman"/>
        </w:rPr>
        <w:t xml:space="preserve">). </w:t>
      </w:r>
      <w:r w:rsidR="007E5D19">
        <w:rPr>
          <w:rFonts w:ascii="Times New Roman" w:hAnsi="Times New Roman"/>
        </w:rPr>
        <w:t>Consistent with prior studies,</w:t>
      </w:r>
      <w:r w:rsidR="00571E03">
        <w:rPr>
          <w:rFonts w:ascii="Times New Roman" w:hAnsi="Times New Roman"/>
        </w:rPr>
        <w:fldChar w:fldCharType="begin" w:fldLock="1"/>
      </w:r>
      <w:r w:rsidR="006B0760">
        <w:rPr>
          <w:rFonts w:ascii="Times New Roman" w:hAnsi="Times New Roman"/>
        </w:rPr>
        <w:instrText>ADDIN CSL_CITATION { "citationItems" : [ { "id" : "ITEM-1", "itemData" : { "DOI" : "10.1016/J.SSMPH.2016.02.013", "ISSN" : "2352-8273", "abstract" : "This study examines the birth weight of second and third-generation Hispanics born in California and Florida, two of the major immigrant destination states in the US. I exploit a unique dataset of linked birth records for two generations of children born in California and Florida (1970\u20132009) and linear probability models to investigate the generational decline in the birth outcomes of Hispanics in the US. The data allow using an extensive set of socio-demographic controls and breaking down the results by country of origin. Second-generation children of Mexican and Cuban origin have better birth outcomes than children of US-born white women. Children of Puerto Rican origin have instead worse birth outcomes. The advantage observed among second-generation Hispanics erodes substantially in the third generation but third-generation Mexicans retain some of it.", "author" : [ { "dropping-particle" : "", "family" : "Giuntella", "given" : "Osea", "non-dropping-particle" : "", "parse-names" : false, "suffix" : "" } ], "container-title" : "SSM - Population Health", "id" : "ITEM-1", "issued" : { "date-parts" : [ [ "2016", "12", "1" ] ] }, "page" : "84-89", "publisher" : "Elsevier", "title" : "The Hispanic health paradox: New evidence from longitudinal data on second and third-generation birth outcomes", "type" : "article-journal", "volume" : "2" }, "uris" : [ "http://www.mendeley.com/documents/?uuid=d9192922-095d-35a5-aef0-1e61bfced095" ] }, { "id" : "ITEM-2", "itemData" : { "DOI" : "10.1016/J.SOCSCIMED.2004.11.056", "ISSN" : "0277-9536", "abstract" : "This study used US state-level data from 1985 to 1995 to examine the relationship of primary care resources and income inequality with all-cause mortality within the entire population, and in black and white populations. The study is a pooled ecological design with repeated measures using 11 years of state-level data (n=549). Analyses controlled for socioeconomic and demographic characteristics. Contemporaneous and time-lagged covariates were modeled, and all analyses were stratified by race/ethnicity. In all models, primary care was associated with lower mortality. An increase of one primary care doctor per 10,000 population was associated with a reduction of 14.4 deaths per 100,000. The magnitude of primary care coefficients was higher for black mortality than for white mortality. Income inequality was not associated with mortality after controlling for state-level sociodemographic covariates. The study provides evidence that primary care resources are associated with population health and could aid in reducing socioeconomic disparities in health.", "author" : [ { "dropping-particle" : "", "family" : "Shi", "given" : "Leiyu", "non-dropping-particle" : "", "parse-names" : false, "suffix" : "" }, { "dropping-particle" : "", "family" : "Macinko", "given" : "James", "non-dropping-particle" : "", "parse-names" : false, "suffix" : "" }, { "dropping-particle" : "", "family" : "Starfield", "given" : "Barbara", "non-dropping-particle" : "", "parse-names" : false, "suffix" : "" }, { "dropping-particle" : "", "family" : "Politzer", "given" : "Robert", "non-dropping-particle" : "", "parse-names" : false, "suffix" : "" }, { "dropping-particle" : "", "family" : "Xu", "given" : "Jiahong", "non-dropping-particle" : "", "parse-names" : false, "suffix" : "" } ], "container-title" : "Social Science &amp; Medicine", "id" : "ITEM-2", "issue" : "1", "issued" : { "date-parts" : [ [ "2005", "7", "1" ] ] }, "page" : "65-75", "publisher" : "Pergamon", "title" : "Primary care, race, and mortality in US states", "type" : "article-journal", "volume" : "61" }, "uris" : [ "http://www.mendeley.com/documents/?uuid=089463a3-2e1f-386a-af88-924636faf244" ] } ], "mendeley" : { "formattedCitation" : "&lt;sup&gt;8,31&lt;/sup&gt;", "plainTextFormattedCitation" : "8,31", "previouslyFormattedCitation" : "&lt;sup&gt;8,31&lt;/sup&gt;" }, "properties" : {  }, "schema" : "https://github.com/citation-style-language/schema/raw/master/csl-citation.json" }</w:instrText>
      </w:r>
      <w:r w:rsidR="00571E03">
        <w:rPr>
          <w:rFonts w:ascii="Times New Roman" w:hAnsi="Times New Roman"/>
        </w:rPr>
        <w:fldChar w:fldCharType="separate"/>
      </w:r>
      <w:r w:rsidR="006B0760" w:rsidRPr="006B0760">
        <w:rPr>
          <w:rFonts w:ascii="Times New Roman" w:hAnsi="Times New Roman"/>
          <w:noProof/>
          <w:vertAlign w:val="superscript"/>
        </w:rPr>
        <w:t>8,31</w:t>
      </w:r>
      <w:r w:rsidR="00571E03">
        <w:rPr>
          <w:rFonts w:ascii="Times New Roman" w:hAnsi="Times New Roman"/>
        </w:rPr>
        <w:fldChar w:fldCharType="end"/>
      </w:r>
      <w:r w:rsidR="007E5D19">
        <w:rPr>
          <w:rFonts w:ascii="Times New Roman" w:hAnsi="Times New Roman"/>
        </w:rPr>
        <w:t xml:space="preserve"> a higher Black population was associated with reduced life expectancy, a larger Hispanic population was associated with increased life expectancy (e.g., the “Hispanic paradox”</w:t>
      </w:r>
      <w:r w:rsidR="00571E03">
        <w:rPr>
          <w:rFonts w:ascii="Times New Roman" w:hAnsi="Times New Roman"/>
        </w:rPr>
        <w:t xml:space="preserve">; </w:t>
      </w:r>
      <w:r w:rsidR="00571E03" w:rsidRPr="00571E03">
        <w:rPr>
          <w:rFonts w:ascii="Times New Roman" w:hAnsi="Times New Roman"/>
          <w:b/>
        </w:rPr>
        <w:t>Table 2</w:t>
      </w:r>
      <w:r w:rsidR="007E5D19">
        <w:rPr>
          <w:rFonts w:ascii="Times New Roman" w:hAnsi="Times New Roman"/>
        </w:rPr>
        <w:t>)</w:t>
      </w:r>
      <w:r w:rsidR="00571E03">
        <w:rPr>
          <w:rFonts w:ascii="Times New Roman" w:hAnsi="Times New Roman"/>
        </w:rPr>
        <w:t xml:space="preserve">, and hospital beds tended to be more </w:t>
      </w:r>
      <w:r w:rsidR="004C6948">
        <w:rPr>
          <w:rFonts w:ascii="Times New Roman" w:hAnsi="Times New Roman"/>
        </w:rPr>
        <w:t>prevalent</w:t>
      </w:r>
      <w:r w:rsidR="00571E03">
        <w:rPr>
          <w:rFonts w:ascii="Times New Roman" w:hAnsi="Times New Roman"/>
        </w:rPr>
        <w:t xml:space="preserve"> in areas with lower life expectancy</w:t>
      </w:r>
      <w:r w:rsidR="007E5D19">
        <w:rPr>
          <w:rFonts w:ascii="Times New Roman" w:hAnsi="Times New Roman"/>
        </w:rPr>
        <w:t>.</w:t>
      </w:r>
      <w:r w:rsidR="00571E03" w:rsidRPr="00575452">
        <w:rPr>
          <w:rFonts w:ascii="Times New Roman" w:hAnsi="Times New Roman"/>
        </w:rPr>
        <w:t xml:space="preserve"> </w:t>
      </w:r>
    </w:p>
    <w:p w14:paraId="30472F57" w14:textId="65E70D46" w:rsidR="00C031C0" w:rsidRPr="00C031C0" w:rsidRDefault="004B3A27" w:rsidP="00C031C0">
      <w:pPr>
        <w:spacing w:line="360" w:lineRule="auto"/>
        <w:ind w:firstLine="720"/>
        <w:rPr>
          <w:rFonts w:ascii="Times New Roman" w:hAnsi="Times New Roman"/>
        </w:rPr>
      </w:pPr>
      <w:r>
        <w:rPr>
          <w:rFonts w:ascii="Times New Roman" w:hAnsi="Times New Roman"/>
        </w:rPr>
        <w:t xml:space="preserve">Increased primary care physician density was related to decreased mortality from </w:t>
      </w:r>
      <w:r w:rsidR="00C031C0">
        <w:rPr>
          <w:rFonts w:ascii="Times New Roman" w:hAnsi="Times New Roman"/>
        </w:rPr>
        <w:t>cardiovascular disease</w:t>
      </w:r>
      <w:r w:rsidR="00591168">
        <w:rPr>
          <w:rFonts w:ascii="Times New Roman" w:hAnsi="Times New Roman"/>
        </w:rPr>
        <w:t xml:space="preserve"> and from substance use/injury</w:t>
      </w:r>
      <w:r w:rsidR="00C031C0">
        <w:rPr>
          <w:rFonts w:ascii="Times New Roman" w:hAnsi="Times New Roman"/>
        </w:rPr>
        <w:t xml:space="preserve">, but not other </w:t>
      </w:r>
      <w:r w:rsidR="009A10BE">
        <w:rPr>
          <w:rFonts w:ascii="Times New Roman" w:hAnsi="Times New Roman"/>
        </w:rPr>
        <w:t xml:space="preserve">specific </w:t>
      </w:r>
      <w:r w:rsidR="00C031C0">
        <w:rPr>
          <w:rFonts w:ascii="Times New Roman" w:hAnsi="Times New Roman"/>
        </w:rPr>
        <w:t>causes of death (</w:t>
      </w:r>
      <w:r w:rsidR="00C031C0">
        <w:rPr>
          <w:rFonts w:ascii="Times New Roman" w:hAnsi="Times New Roman"/>
          <w:b/>
        </w:rPr>
        <w:t xml:space="preserve">Figure </w:t>
      </w:r>
      <w:r w:rsidR="00C031C0" w:rsidRPr="00C031C0">
        <w:rPr>
          <w:rFonts w:ascii="Times New Roman" w:hAnsi="Times New Roman"/>
          <w:b/>
        </w:rPr>
        <w:t>3</w:t>
      </w:r>
      <w:r w:rsidR="00C031C0">
        <w:rPr>
          <w:rFonts w:ascii="Times New Roman" w:hAnsi="Times New Roman"/>
        </w:rPr>
        <w:t xml:space="preserve">). A one standard deviation (2.8 physicians) increase in primary care physicians per 10,000 </w:t>
      </w:r>
      <w:r w:rsidR="00C031C0" w:rsidRPr="005F5CED">
        <w:rPr>
          <w:rFonts w:ascii="Times New Roman" w:hAnsi="Times New Roman"/>
        </w:rPr>
        <w:t>population was associated with a 5.6 per 1 million (0.2%) reduction in cardiovascular mortality (95% CI: 0.3, 10.9</w:t>
      </w:r>
      <w:r w:rsidR="005C4FBB" w:rsidRPr="005F5CED">
        <w:rPr>
          <w:rFonts w:ascii="Times New Roman" w:hAnsi="Times New Roman"/>
        </w:rPr>
        <w:t xml:space="preserve">, P = </w:t>
      </w:r>
      <w:r w:rsidR="005F5CED" w:rsidRPr="005F5CED">
        <w:rPr>
          <w:rFonts w:ascii="Times New Roman" w:hAnsi="Times New Roman"/>
        </w:rPr>
        <w:t>0.038</w:t>
      </w:r>
      <w:r w:rsidR="00C031C0" w:rsidRPr="005F5CED">
        <w:rPr>
          <w:rFonts w:ascii="Times New Roman" w:hAnsi="Times New Roman"/>
        </w:rPr>
        <w:t xml:space="preserve">), which was equivalent to </w:t>
      </w:r>
      <w:r w:rsidR="00B14117" w:rsidRPr="005F5CED">
        <w:rPr>
          <w:rFonts w:ascii="Times New Roman" w:hAnsi="Times New Roman"/>
        </w:rPr>
        <w:t>a reduction of 2.0 deaths per million per primary care physician</w:t>
      </w:r>
      <w:r w:rsidR="00C031C0" w:rsidRPr="005F5CED">
        <w:rPr>
          <w:rFonts w:ascii="Times New Roman" w:hAnsi="Times New Roman"/>
        </w:rPr>
        <w:t xml:space="preserve">. A one standard deviation (11.9 physicians) increase in all other types of physicians per 10,000 population was associated with a 11.7 per 1 million (0.5%) reduction in cardiovascular mortality (95% CI: 1.7, 21.7, P = </w:t>
      </w:r>
      <w:r w:rsidR="005F5CED" w:rsidRPr="005F5CED">
        <w:rPr>
          <w:rFonts w:ascii="Times New Roman" w:hAnsi="Times New Roman"/>
        </w:rPr>
        <w:t>0.022</w:t>
      </w:r>
      <w:r w:rsidR="00C031C0" w:rsidRPr="005F5CED">
        <w:rPr>
          <w:rFonts w:ascii="Times New Roman" w:hAnsi="Times New Roman"/>
        </w:rPr>
        <w:t xml:space="preserve">), </w:t>
      </w:r>
      <w:r w:rsidR="009C4727" w:rsidRPr="005F5CED">
        <w:rPr>
          <w:rFonts w:ascii="Times New Roman" w:hAnsi="Times New Roman"/>
        </w:rPr>
        <w:t xml:space="preserve">which was equivalent to </w:t>
      </w:r>
      <w:r w:rsidR="00B14117" w:rsidRPr="005F5CED">
        <w:rPr>
          <w:rFonts w:ascii="Times New Roman" w:hAnsi="Times New Roman"/>
        </w:rPr>
        <w:t>a reduction of 1.0 deaths per million per non-primary care physician.</w:t>
      </w:r>
      <w:r w:rsidR="00DB1A33" w:rsidRPr="005F5CED">
        <w:rPr>
          <w:rFonts w:ascii="Times New Roman" w:hAnsi="Times New Roman"/>
        </w:rPr>
        <w:t xml:space="preserve"> </w:t>
      </w:r>
      <w:r w:rsidR="005218DF" w:rsidRPr="005F5CED">
        <w:rPr>
          <w:rFonts w:ascii="Times New Roman" w:hAnsi="Times New Roman"/>
        </w:rPr>
        <w:t xml:space="preserve">A one standard deviation (2.8 physicians) increase in primary care physicians per 10,000 population was associated with a </w:t>
      </w:r>
      <w:r w:rsidR="005218DF" w:rsidRPr="005F5CED">
        <w:rPr>
          <w:rFonts w:ascii="Times New Roman" w:hAnsi="Times New Roman"/>
        </w:rPr>
        <w:t>1.5</w:t>
      </w:r>
      <w:r w:rsidR="005218DF" w:rsidRPr="005F5CED">
        <w:rPr>
          <w:rFonts w:ascii="Times New Roman" w:hAnsi="Times New Roman"/>
        </w:rPr>
        <w:t xml:space="preserve"> per 1 million (</w:t>
      </w:r>
      <w:r w:rsidR="00462B47" w:rsidRPr="005F5CED">
        <w:rPr>
          <w:rFonts w:ascii="Times New Roman" w:hAnsi="Times New Roman"/>
        </w:rPr>
        <w:t>0.5%</w:t>
      </w:r>
      <w:r w:rsidR="005218DF" w:rsidRPr="005F5CED">
        <w:rPr>
          <w:rFonts w:ascii="Times New Roman" w:hAnsi="Times New Roman"/>
        </w:rPr>
        <w:t xml:space="preserve">) reduction in </w:t>
      </w:r>
      <w:r w:rsidR="005218DF" w:rsidRPr="005F5CED">
        <w:rPr>
          <w:rFonts w:ascii="Times New Roman" w:hAnsi="Times New Roman"/>
        </w:rPr>
        <w:t>substance use/injury</w:t>
      </w:r>
      <w:r w:rsidR="005218DF" w:rsidRPr="005F5CED">
        <w:rPr>
          <w:rFonts w:ascii="Times New Roman" w:hAnsi="Times New Roman"/>
        </w:rPr>
        <w:t xml:space="preserve"> mortality (95% CI: 0.</w:t>
      </w:r>
      <w:r w:rsidR="007244D7" w:rsidRPr="005F5CED">
        <w:rPr>
          <w:rFonts w:ascii="Times New Roman" w:hAnsi="Times New Roman"/>
        </w:rPr>
        <w:t>1</w:t>
      </w:r>
      <w:r w:rsidR="005218DF" w:rsidRPr="005F5CED">
        <w:rPr>
          <w:rFonts w:ascii="Times New Roman" w:hAnsi="Times New Roman"/>
        </w:rPr>
        <w:t xml:space="preserve">, </w:t>
      </w:r>
      <w:r w:rsidR="007244D7" w:rsidRPr="005F5CED">
        <w:rPr>
          <w:rFonts w:ascii="Times New Roman" w:hAnsi="Times New Roman"/>
        </w:rPr>
        <w:t>2.8</w:t>
      </w:r>
      <w:r w:rsidR="007244D7" w:rsidRPr="005F5CED">
        <w:rPr>
          <w:rFonts w:ascii="Times New Roman" w:hAnsi="Times New Roman"/>
        </w:rPr>
        <w:t>, P = 0</w:t>
      </w:r>
      <w:r w:rsidR="005F5CED" w:rsidRPr="005F5CED">
        <w:rPr>
          <w:rFonts w:ascii="Times New Roman" w:hAnsi="Times New Roman"/>
        </w:rPr>
        <w:t>.035</w:t>
      </w:r>
      <w:r w:rsidR="001D7564">
        <w:rPr>
          <w:rFonts w:ascii="Times New Roman" w:hAnsi="Times New Roman"/>
        </w:rPr>
        <w:t>)</w:t>
      </w:r>
      <w:r w:rsidR="005218DF" w:rsidRPr="005F5CED">
        <w:rPr>
          <w:rFonts w:ascii="Times New Roman" w:hAnsi="Times New Roman"/>
        </w:rPr>
        <w:t>. A one standard deviation (11.9</w:t>
      </w:r>
      <w:r w:rsidR="005218DF">
        <w:rPr>
          <w:rFonts w:ascii="Times New Roman" w:hAnsi="Times New Roman"/>
        </w:rPr>
        <w:t xml:space="preserve"> physicians) increase in all other types of physicians per 10,000 population was </w:t>
      </w:r>
      <w:r w:rsidR="00CF404A">
        <w:rPr>
          <w:rFonts w:ascii="Times New Roman" w:hAnsi="Times New Roman"/>
        </w:rPr>
        <w:t xml:space="preserve">not significantly </w:t>
      </w:r>
      <w:r w:rsidR="005218DF">
        <w:rPr>
          <w:rFonts w:ascii="Times New Roman" w:hAnsi="Times New Roman"/>
        </w:rPr>
        <w:t xml:space="preserve">associated with </w:t>
      </w:r>
      <w:r w:rsidR="00CF404A">
        <w:rPr>
          <w:rFonts w:ascii="Times New Roman" w:hAnsi="Times New Roman"/>
        </w:rPr>
        <w:t xml:space="preserve">a </w:t>
      </w:r>
      <w:r w:rsidR="005218DF" w:rsidRPr="00C031C0">
        <w:rPr>
          <w:rFonts w:ascii="Times New Roman" w:hAnsi="Times New Roman"/>
        </w:rPr>
        <w:t xml:space="preserve">reduction in </w:t>
      </w:r>
      <w:r w:rsidR="00CF404A">
        <w:rPr>
          <w:rFonts w:ascii="Times New Roman" w:hAnsi="Times New Roman"/>
        </w:rPr>
        <w:t>substance use/injury</w:t>
      </w:r>
      <w:r w:rsidR="00CF404A" w:rsidRPr="00C031C0">
        <w:rPr>
          <w:rFonts w:ascii="Times New Roman" w:hAnsi="Times New Roman"/>
        </w:rPr>
        <w:t xml:space="preserve"> mortality</w:t>
      </w:r>
      <w:r w:rsidR="00FA373C">
        <w:rPr>
          <w:rFonts w:ascii="Times New Roman" w:hAnsi="Times New Roman"/>
        </w:rPr>
        <w:t xml:space="preserve"> </w:t>
      </w:r>
      <w:r w:rsidR="00DB1A33">
        <w:rPr>
          <w:rFonts w:ascii="Times New Roman" w:hAnsi="Times New Roman"/>
        </w:rPr>
        <w:t>(</w:t>
      </w:r>
      <w:r w:rsidR="00DB1A33">
        <w:rPr>
          <w:rFonts w:ascii="Times New Roman" w:hAnsi="Times New Roman"/>
          <w:b/>
        </w:rPr>
        <w:t>Figure 3</w:t>
      </w:r>
      <w:r w:rsidR="00DB1A33">
        <w:rPr>
          <w:rFonts w:ascii="Times New Roman" w:hAnsi="Times New Roman"/>
        </w:rPr>
        <w:t>).</w:t>
      </w:r>
      <w:r w:rsidR="00ED28F3">
        <w:rPr>
          <w:rFonts w:ascii="Times New Roman" w:hAnsi="Times New Roman"/>
        </w:rPr>
        <w:t xml:space="preserve"> </w:t>
      </w:r>
      <w:r w:rsidR="009557BD" w:rsidRPr="00C24AEC">
        <w:rPr>
          <w:rFonts w:ascii="Times New Roman" w:hAnsi="Times New Roman"/>
        </w:rPr>
        <w:t>Among the subtypes of substance use/injury</w:t>
      </w:r>
      <w:r w:rsidR="00C24AEC">
        <w:rPr>
          <w:rFonts w:ascii="Times New Roman" w:hAnsi="Times New Roman"/>
        </w:rPr>
        <w:t xml:space="preserve"> mortality</w:t>
      </w:r>
      <w:r w:rsidR="009557BD" w:rsidRPr="00C24AEC">
        <w:rPr>
          <w:rFonts w:ascii="Times New Roman" w:hAnsi="Times New Roman"/>
        </w:rPr>
        <w:t xml:space="preserve">, primary care physician density </w:t>
      </w:r>
      <w:r w:rsidR="006703FD" w:rsidRPr="00C24AEC">
        <w:rPr>
          <w:rFonts w:ascii="Times New Roman" w:hAnsi="Times New Roman"/>
        </w:rPr>
        <w:t>related to reduced</w:t>
      </w:r>
      <w:r w:rsidR="009557BD" w:rsidRPr="00C24AEC">
        <w:rPr>
          <w:rFonts w:ascii="Times New Roman" w:hAnsi="Times New Roman"/>
        </w:rPr>
        <w:t xml:space="preserve"> alcohol </w:t>
      </w:r>
      <w:r w:rsidR="003421DC" w:rsidRPr="00C24AEC">
        <w:rPr>
          <w:rFonts w:ascii="Times New Roman" w:hAnsi="Times New Roman"/>
        </w:rPr>
        <w:t xml:space="preserve">mortality </w:t>
      </w:r>
      <w:r w:rsidR="009557BD" w:rsidRPr="00C24AEC">
        <w:rPr>
          <w:rFonts w:ascii="Times New Roman" w:hAnsi="Times New Roman"/>
        </w:rPr>
        <w:t>(-</w:t>
      </w:r>
      <w:r w:rsidR="00883CD7" w:rsidRPr="00C24AEC">
        <w:rPr>
          <w:rFonts w:ascii="Times New Roman" w:hAnsi="Times New Roman"/>
        </w:rPr>
        <w:t>0.2</w:t>
      </w:r>
      <w:r w:rsidR="009557BD" w:rsidRPr="00C24AEC">
        <w:rPr>
          <w:rFonts w:ascii="Times New Roman" w:hAnsi="Times New Roman"/>
        </w:rPr>
        <w:t xml:space="preserve"> per million for a 1 standard deviation increase in supply; 95% CI: </w:t>
      </w:r>
      <w:r w:rsidR="00883CD7" w:rsidRPr="00C24AEC">
        <w:rPr>
          <w:rFonts w:ascii="Times New Roman" w:hAnsi="Times New Roman"/>
        </w:rPr>
        <w:t>-</w:t>
      </w:r>
      <w:r w:rsidR="00C24AEC" w:rsidRPr="00C24AEC">
        <w:rPr>
          <w:rFonts w:ascii="Times New Roman" w:hAnsi="Times New Roman"/>
        </w:rPr>
        <w:t>0.01, -0.</w:t>
      </w:r>
      <w:r w:rsidR="005645AE">
        <w:rPr>
          <w:rFonts w:ascii="Times New Roman" w:hAnsi="Times New Roman"/>
        </w:rPr>
        <w:t>4</w:t>
      </w:r>
      <w:r w:rsidR="00C24AEC" w:rsidRPr="00C24AEC">
        <w:rPr>
          <w:rFonts w:ascii="Times New Roman" w:hAnsi="Times New Roman"/>
        </w:rPr>
        <w:t>; P = 0.042</w:t>
      </w:r>
      <w:r w:rsidR="001D7564">
        <w:rPr>
          <w:rFonts w:ascii="Times New Roman" w:hAnsi="Times New Roman"/>
        </w:rPr>
        <w:t>;</w:t>
      </w:r>
      <w:r w:rsidR="00A5550D">
        <w:rPr>
          <w:rFonts w:ascii="Times New Roman" w:hAnsi="Times New Roman"/>
        </w:rPr>
        <w:t xml:space="preserve"> a 0.7% decrease</w:t>
      </w:r>
      <w:r w:rsidR="009557BD" w:rsidRPr="00C24AEC">
        <w:rPr>
          <w:rFonts w:ascii="Times New Roman" w:hAnsi="Times New Roman"/>
        </w:rPr>
        <w:t xml:space="preserve">) </w:t>
      </w:r>
      <w:r w:rsidR="00191F13" w:rsidRPr="00C24AEC">
        <w:rPr>
          <w:rFonts w:ascii="Times New Roman" w:hAnsi="Times New Roman"/>
        </w:rPr>
        <w:t xml:space="preserve">and </w:t>
      </w:r>
      <w:r w:rsidR="006703FD" w:rsidRPr="00C24AEC">
        <w:rPr>
          <w:rFonts w:ascii="Times New Roman" w:hAnsi="Times New Roman"/>
        </w:rPr>
        <w:t>reduced</w:t>
      </w:r>
      <w:r w:rsidR="009557BD" w:rsidRPr="00C24AEC">
        <w:rPr>
          <w:rFonts w:ascii="Times New Roman" w:hAnsi="Times New Roman"/>
        </w:rPr>
        <w:t xml:space="preserve"> self-harm</w:t>
      </w:r>
      <w:r w:rsidR="00C24AEC">
        <w:rPr>
          <w:rFonts w:ascii="Times New Roman" w:hAnsi="Times New Roman"/>
        </w:rPr>
        <w:t xml:space="preserve"> mortality</w:t>
      </w:r>
      <w:r w:rsidR="006703FD" w:rsidRPr="00C24AEC">
        <w:rPr>
          <w:rFonts w:ascii="Times New Roman" w:hAnsi="Times New Roman"/>
        </w:rPr>
        <w:t xml:space="preserve"> (</w:t>
      </w:r>
      <w:r w:rsidR="00191F13" w:rsidRPr="00C24AEC">
        <w:rPr>
          <w:rFonts w:ascii="Times New Roman" w:hAnsi="Times New Roman"/>
        </w:rPr>
        <w:t>-0.5</w:t>
      </w:r>
      <w:r w:rsidR="008531B3">
        <w:rPr>
          <w:rFonts w:ascii="Times New Roman" w:hAnsi="Times New Roman"/>
        </w:rPr>
        <w:t xml:space="preserve"> </w:t>
      </w:r>
      <w:r w:rsidR="008531B3" w:rsidRPr="00C24AEC">
        <w:rPr>
          <w:rFonts w:ascii="Times New Roman" w:hAnsi="Times New Roman"/>
        </w:rPr>
        <w:t>per million</w:t>
      </w:r>
      <w:r w:rsidR="00191F13" w:rsidRPr="00C24AEC">
        <w:rPr>
          <w:rFonts w:ascii="Times New Roman" w:hAnsi="Times New Roman"/>
        </w:rPr>
        <w:t>, 95% CI: -0.01, -1.</w:t>
      </w:r>
      <w:r w:rsidR="005645AE">
        <w:rPr>
          <w:rFonts w:ascii="Times New Roman" w:hAnsi="Times New Roman"/>
        </w:rPr>
        <w:t>5</w:t>
      </w:r>
      <w:r w:rsidR="00191F13" w:rsidRPr="00C24AEC">
        <w:rPr>
          <w:rFonts w:ascii="Times New Roman" w:hAnsi="Times New Roman"/>
        </w:rPr>
        <w:t>; P = 0.044</w:t>
      </w:r>
      <w:r w:rsidR="001D7564">
        <w:rPr>
          <w:rFonts w:ascii="Times New Roman" w:hAnsi="Times New Roman"/>
        </w:rPr>
        <w:t>;</w:t>
      </w:r>
      <w:r w:rsidR="00A5550D">
        <w:rPr>
          <w:rFonts w:ascii="Times New Roman" w:hAnsi="Times New Roman"/>
        </w:rPr>
        <w:t xml:space="preserve"> a </w:t>
      </w:r>
      <w:r w:rsidR="00CE2544">
        <w:rPr>
          <w:rFonts w:ascii="Times New Roman" w:hAnsi="Times New Roman"/>
        </w:rPr>
        <w:t>0.3% decrease</w:t>
      </w:r>
      <w:r w:rsidR="00B7411C">
        <w:rPr>
          <w:rFonts w:ascii="Times New Roman" w:hAnsi="Times New Roman"/>
        </w:rPr>
        <w:t>), but not significantly to reduced drug use</w:t>
      </w:r>
      <w:r w:rsidR="00D54AFE">
        <w:rPr>
          <w:rFonts w:ascii="Times New Roman" w:hAnsi="Times New Roman"/>
        </w:rPr>
        <w:t xml:space="preserve"> (</w:t>
      </w:r>
      <w:r w:rsidR="005645AE">
        <w:rPr>
          <w:rFonts w:ascii="Times New Roman" w:hAnsi="Times New Roman"/>
        </w:rPr>
        <w:t>-0.6 per million, 95% CI: -1.7, +0.5; P = 0.274</w:t>
      </w:r>
      <w:r w:rsidR="00D54AFE">
        <w:rPr>
          <w:rFonts w:ascii="Times New Roman" w:hAnsi="Times New Roman"/>
        </w:rPr>
        <w:t>)</w:t>
      </w:r>
      <w:r w:rsidR="00B7411C">
        <w:rPr>
          <w:rFonts w:ascii="Times New Roman" w:hAnsi="Times New Roman"/>
        </w:rPr>
        <w:t>.</w:t>
      </w:r>
    </w:p>
    <w:p w14:paraId="275EB5A8" w14:textId="2061764E" w:rsidR="00F528A8" w:rsidRDefault="00F528A8" w:rsidP="00EB1580">
      <w:pPr>
        <w:spacing w:line="360" w:lineRule="auto"/>
        <w:rPr>
          <w:rFonts w:ascii="Times New Roman" w:hAnsi="Times New Roman"/>
        </w:rPr>
      </w:pPr>
      <w:r>
        <w:rPr>
          <w:rFonts w:ascii="Times New Roman" w:hAnsi="Times New Roman"/>
        </w:rPr>
        <w:tab/>
      </w:r>
      <w:r w:rsidR="00B870B5">
        <w:rPr>
          <w:rFonts w:ascii="Times New Roman" w:hAnsi="Times New Roman"/>
        </w:rPr>
        <w:tab/>
      </w:r>
    </w:p>
    <w:p w14:paraId="6CA22242" w14:textId="20ED75EF" w:rsidR="00B870B5" w:rsidRDefault="00B870B5" w:rsidP="00EB1580">
      <w:pPr>
        <w:spacing w:line="360" w:lineRule="auto"/>
        <w:rPr>
          <w:rFonts w:ascii="Times New Roman" w:hAnsi="Times New Roman"/>
          <w:i/>
        </w:rPr>
      </w:pPr>
      <w:r>
        <w:rPr>
          <w:rFonts w:ascii="Times New Roman" w:hAnsi="Times New Roman"/>
          <w:i/>
        </w:rPr>
        <w:t>Robustness and falsification testing</w:t>
      </w:r>
    </w:p>
    <w:p w14:paraId="7EBCA67D" w14:textId="77727944" w:rsidR="007D0D1D" w:rsidRPr="009A10BE" w:rsidRDefault="007D0D1D" w:rsidP="00EB1580">
      <w:pPr>
        <w:spacing w:line="360" w:lineRule="auto"/>
        <w:rPr>
          <w:rFonts w:ascii="Times New Roman" w:hAnsi="Times New Roman"/>
        </w:rPr>
      </w:pPr>
      <w:r>
        <w:rPr>
          <w:rFonts w:ascii="Times New Roman" w:hAnsi="Times New Roman"/>
        </w:rPr>
        <w:tab/>
      </w:r>
      <w:r w:rsidR="00944999" w:rsidRPr="009A10BE">
        <w:rPr>
          <w:rFonts w:ascii="Times New Roman" w:hAnsi="Times New Roman"/>
        </w:rPr>
        <w:t xml:space="preserve">Point estimates of the coefficients for primary care physician density </w:t>
      </w:r>
      <w:r w:rsidR="00B66795">
        <w:rPr>
          <w:rFonts w:ascii="Times New Roman" w:hAnsi="Times New Roman"/>
        </w:rPr>
        <w:t>were not significantly</w:t>
      </w:r>
      <w:r w:rsidR="00944999" w:rsidRPr="009A10BE">
        <w:rPr>
          <w:rFonts w:ascii="Times New Roman" w:hAnsi="Times New Roman"/>
        </w:rPr>
        <w:t xml:space="preserve"> </w:t>
      </w:r>
      <w:r w:rsidR="009860F6">
        <w:rPr>
          <w:rFonts w:ascii="Times New Roman" w:hAnsi="Times New Roman"/>
        </w:rPr>
        <w:t xml:space="preserve">different </w:t>
      </w:r>
      <w:r w:rsidR="00944999" w:rsidRPr="009A10BE">
        <w:rPr>
          <w:rFonts w:ascii="Times New Roman" w:hAnsi="Times New Roman"/>
        </w:rPr>
        <w:t xml:space="preserve">between the fixed effects and a first differences regression </w:t>
      </w:r>
      <w:proofErr w:type="gramStart"/>
      <w:r w:rsidR="00944999" w:rsidRPr="009A10BE">
        <w:rPr>
          <w:rFonts w:ascii="Times New Roman" w:hAnsi="Times New Roman"/>
        </w:rPr>
        <w:t>model</w:t>
      </w:r>
      <w:r w:rsidR="009A10BE" w:rsidRPr="009A10BE">
        <w:rPr>
          <w:rFonts w:ascii="Times New Roman" w:hAnsi="Times New Roman"/>
        </w:rPr>
        <w:t xml:space="preserve">, </w:t>
      </w:r>
      <w:r w:rsidR="00B66795">
        <w:rPr>
          <w:rFonts w:ascii="Times New Roman" w:hAnsi="Times New Roman"/>
        </w:rPr>
        <w:lastRenderedPageBreak/>
        <w:t>but</w:t>
      </w:r>
      <w:proofErr w:type="gramEnd"/>
      <w:r w:rsidR="00B66795">
        <w:rPr>
          <w:rFonts w:ascii="Times New Roman" w:hAnsi="Times New Roman"/>
        </w:rPr>
        <w:t xml:space="preserve"> had a </w:t>
      </w:r>
      <w:r w:rsidR="009A10BE" w:rsidRPr="009A10BE">
        <w:rPr>
          <w:rFonts w:ascii="Times New Roman" w:hAnsi="Times New Roman"/>
        </w:rPr>
        <w:t>reduced effect size in the first differences regression</w:t>
      </w:r>
      <w:r w:rsidR="005E74A5">
        <w:rPr>
          <w:rFonts w:ascii="Times New Roman" w:hAnsi="Times New Roman"/>
        </w:rPr>
        <w:t xml:space="preserve"> </w:t>
      </w:r>
      <w:r w:rsidR="005E74A5" w:rsidRPr="009A10BE">
        <w:rPr>
          <w:rFonts w:ascii="Times New Roman" w:hAnsi="Times New Roman"/>
        </w:rPr>
        <w:t>(</w:t>
      </w:r>
      <w:r w:rsidR="005E74A5" w:rsidRPr="009A10BE">
        <w:rPr>
          <w:rFonts w:ascii="Times New Roman" w:hAnsi="Times New Roman"/>
          <w:b/>
        </w:rPr>
        <w:t xml:space="preserve">Appendix </w:t>
      </w:r>
      <w:r w:rsidR="00FB60C0">
        <w:rPr>
          <w:rFonts w:ascii="Times New Roman" w:hAnsi="Times New Roman"/>
          <w:b/>
        </w:rPr>
        <w:t>Figure</w:t>
      </w:r>
      <w:r w:rsidR="005E74A5" w:rsidRPr="009A10BE">
        <w:rPr>
          <w:rFonts w:ascii="Times New Roman" w:hAnsi="Times New Roman"/>
          <w:b/>
        </w:rPr>
        <w:t xml:space="preserve"> 1</w:t>
      </w:r>
      <w:r w:rsidR="005E74A5" w:rsidRPr="009A10BE">
        <w:rPr>
          <w:rFonts w:ascii="Times New Roman" w:hAnsi="Times New Roman"/>
        </w:rPr>
        <w:t>)</w:t>
      </w:r>
      <w:r w:rsidR="00944999" w:rsidRPr="009A10BE">
        <w:rPr>
          <w:rFonts w:ascii="Times New Roman" w:hAnsi="Times New Roman"/>
        </w:rPr>
        <w:t>.</w:t>
      </w:r>
      <w:r w:rsidR="009A10BE">
        <w:rPr>
          <w:rFonts w:ascii="Times New Roman" w:hAnsi="Times New Roman"/>
        </w:rPr>
        <w:t xml:space="preserve"> The effect of life expectancy was no longer statistically significant, but the effect</w:t>
      </w:r>
      <w:r w:rsidR="00B66795">
        <w:rPr>
          <w:rFonts w:ascii="Times New Roman" w:hAnsi="Times New Roman"/>
        </w:rPr>
        <w:t>s</w:t>
      </w:r>
      <w:r w:rsidR="009A10BE">
        <w:rPr>
          <w:rFonts w:ascii="Times New Roman" w:hAnsi="Times New Roman"/>
        </w:rPr>
        <w:t xml:space="preserve"> on cardiovascular mortality </w:t>
      </w:r>
      <w:r w:rsidR="00B66795">
        <w:rPr>
          <w:rFonts w:ascii="Times New Roman" w:hAnsi="Times New Roman"/>
        </w:rPr>
        <w:t xml:space="preserve">and substance use/injury mortality </w:t>
      </w:r>
      <w:r w:rsidR="009A10BE">
        <w:rPr>
          <w:rFonts w:ascii="Times New Roman" w:hAnsi="Times New Roman"/>
        </w:rPr>
        <w:t>remained significant at the P&lt;0.05 level.</w:t>
      </w:r>
      <w:r w:rsidR="00944999" w:rsidRPr="009A10BE">
        <w:rPr>
          <w:rFonts w:ascii="Times New Roman" w:hAnsi="Times New Roman"/>
        </w:rPr>
        <w:t xml:space="preserve"> </w:t>
      </w:r>
      <w:r w:rsidR="00864A9A">
        <w:rPr>
          <w:rFonts w:ascii="Times New Roman" w:hAnsi="Times New Roman"/>
        </w:rPr>
        <w:t>P</w:t>
      </w:r>
      <w:r w:rsidR="00944999" w:rsidRPr="009A10BE">
        <w:rPr>
          <w:rFonts w:ascii="Times New Roman" w:hAnsi="Times New Roman"/>
        </w:rPr>
        <w:t xml:space="preserve">oint estimates </w:t>
      </w:r>
      <w:r w:rsidR="009A10BE" w:rsidRPr="009A10BE">
        <w:rPr>
          <w:rFonts w:ascii="Times New Roman" w:hAnsi="Times New Roman"/>
        </w:rPr>
        <w:t>were smaller</w:t>
      </w:r>
      <w:r w:rsidR="00944999" w:rsidRPr="009A10BE">
        <w:rPr>
          <w:rFonts w:ascii="Times New Roman" w:hAnsi="Times New Roman"/>
        </w:rPr>
        <w:t xml:space="preserve"> when applying lags between the independent variables and the dependent outcome variables</w:t>
      </w:r>
      <w:r w:rsidR="00864A9A">
        <w:rPr>
          <w:rFonts w:ascii="Times New Roman" w:hAnsi="Times New Roman"/>
        </w:rPr>
        <w:t>, with no significant relations between lagged primary care physician density and any of the outcomes</w:t>
      </w:r>
      <w:r w:rsidR="00944999" w:rsidRPr="009A10BE">
        <w:rPr>
          <w:rFonts w:ascii="Times New Roman" w:hAnsi="Times New Roman"/>
        </w:rPr>
        <w:t xml:space="preserve"> (</w:t>
      </w:r>
      <w:r w:rsidR="00590026" w:rsidRPr="009A10BE">
        <w:rPr>
          <w:rFonts w:ascii="Times New Roman" w:hAnsi="Times New Roman"/>
          <w:b/>
        </w:rPr>
        <w:t xml:space="preserve">Appendix </w:t>
      </w:r>
      <w:r w:rsidR="00FB60C0">
        <w:rPr>
          <w:rFonts w:ascii="Times New Roman" w:hAnsi="Times New Roman"/>
          <w:b/>
        </w:rPr>
        <w:t>Figure</w:t>
      </w:r>
      <w:r w:rsidR="00944999" w:rsidRPr="009A10BE">
        <w:rPr>
          <w:rFonts w:ascii="Times New Roman" w:hAnsi="Times New Roman"/>
          <w:b/>
        </w:rPr>
        <w:t xml:space="preserve"> 2</w:t>
      </w:r>
      <w:r w:rsidR="00944999" w:rsidRPr="009A10BE">
        <w:rPr>
          <w:rFonts w:ascii="Times New Roman" w:hAnsi="Times New Roman"/>
        </w:rPr>
        <w:t>).</w:t>
      </w:r>
      <w:r w:rsidR="009A10BE">
        <w:rPr>
          <w:rFonts w:ascii="Times New Roman" w:hAnsi="Times New Roman"/>
        </w:rPr>
        <w:t xml:space="preserve"> </w:t>
      </w:r>
    </w:p>
    <w:p w14:paraId="5FA03A67" w14:textId="02B0F243" w:rsidR="00B870B5" w:rsidRPr="007D0D1D" w:rsidRDefault="007D0D1D" w:rsidP="007D0D1D">
      <w:pPr>
        <w:spacing w:line="360" w:lineRule="auto"/>
        <w:ind w:firstLine="720"/>
        <w:rPr>
          <w:rFonts w:ascii="Times New Roman" w:hAnsi="Times New Roman"/>
        </w:rPr>
      </w:pPr>
      <w:r w:rsidRPr="009A10BE">
        <w:rPr>
          <w:rFonts w:ascii="Times New Roman" w:hAnsi="Times New Roman"/>
        </w:rPr>
        <w:t xml:space="preserve">Increased primary care physician density was </w:t>
      </w:r>
      <w:r w:rsidR="00B66795">
        <w:rPr>
          <w:rFonts w:ascii="Times New Roman" w:hAnsi="Times New Roman"/>
        </w:rPr>
        <w:t>not</w:t>
      </w:r>
      <w:r w:rsidRPr="009A10BE">
        <w:rPr>
          <w:rFonts w:ascii="Times New Roman" w:hAnsi="Times New Roman"/>
        </w:rPr>
        <w:t>—in falsification tests—</w:t>
      </w:r>
      <w:r w:rsidR="005F5C73" w:rsidRPr="005F5C73">
        <w:rPr>
          <w:rFonts w:ascii="Times New Roman" w:hAnsi="Times New Roman"/>
        </w:rPr>
        <w:t xml:space="preserve"> </w:t>
      </w:r>
      <w:r w:rsidR="005F5C73">
        <w:rPr>
          <w:rFonts w:ascii="Times New Roman" w:hAnsi="Times New Roman"/>
        </w:rPr>
        <w:t>significantly</w:t>
      </w:r>
      <w:r w:rsidR="005F5C73" w:rsidRPr="009A10BE">
        <w:rPr>
          <w:rFonts w:ascii="Times New Roman" w:hAnsi="Times New Roman"/>
        </w:rPr>
        <w:t xml:space="preserve"> </w:t>
      </w:r>
      <w:r w:rsidR="005F5C73">
        <w:rPr>
          <w:rFonts w:ascii="Times New Roman" w:hAnsi="Times New Roman"/>
        </w:rPr>
        <w:t xml:space="preserve">related </w:t>
      </w:r>
      <w:r w:rsidRPr="009A10BE">
        <w:rPr>
          <w:rFonts w:ascii="Times New Roman" w:hAnsi="Times New Roman"/>
        </w:rPr>
        <w:t xml:space="preserve">to </w:t>
      </w:r>
      <w:r w:rsidR="009A10BE" w:rsidRPr="009A10BE">
        <w:rPr>
          <w:rFonts w:ascii="Times New Roman" w:hAnsi="Times New Roman"/>
        </w:rPr>
        <w:t xml:space="preserve">reductions in </w:t>
      </w:r>
      <w:r w:rsidRPr="009A10BE">
        <w:rPr>
          <w:rFonts w:ascii="Times New Roman" w:hAnsi="Times New Roman"/>
        </w:rPr>
        <w:t xml:space="preserve">transport accident deaths </w:t>
      </w:r>
      <w:r w:rsidR="00DB64F4">
        <w:rPr>
          <w:rFonts w:ascii="Times New Roman" w:hAnsi="Times New Roman"/>
        </w:rPr>
        <w:t>or</w:t>
      </w:r>
      <w:r w:rsidRPr="009A10BE">
        <w:rPr>
          <w:rFonts w:ascii="Times New Roman" w:hAnsi="Times New Roman"/>
        </w:rPr>
        <w:t xml:space="preserve"> </w:t>
      </w:r>
      <w:r w:rsidR="002A2185">
        <w:rPr>
          <w:rFonts w:ascii="Times New Roman" w:hAnsi="Times New Roman"/>
        </w:rPr>
        <w:t xml:space="preserve">to </w:t>
      </w:r>
      <w:r w:rsidRPr="009A10BE">
        <w:rPr>
          <w:rFonts w:ascii="Times New Roman" w:hAnsi="Times New Roman"/>
        </w:rPr>
        <w:t>deaths due to interpersonal violence (</w:t>
      </w:r>
      <w:r w:rsidR="00FB60C0">
        <w:rPr>
          <w:rFonts w:ascii="Times New Roman" w:hAnsi="Times New Roman"/>
          <w:b/>
        </w:rPr>
        <w:t>Figure</w:t>
      </w:r>
      <w:r w:rsidR="00981D37" w:rsidRPr="009A10BE">
        <w:rPr>
          <w:rFonts w:ascii="Times New Roman" w:hAnsi="Times New Roman"/>
          <w:b/>
        </w:rPr>
        <w:t xml:space="preserve"> </w:t>
      </w:r>
      <w:r w:rsidR="00590026" w:rsidRPr="009A10BE">
        <w:rPr>
          <w:rFonts w:ascii="Times New Roman" w:hAnsi="Times New Roman"/>
          <w:b/>
        </w:rPr>
        <w:t>3</w:t>
      </w:r>
      <w:r w:rsidRPr="009A10BE">
        <w:rPr>
          <w:rFonts w:ascii="Times New Roman" w:hAnsi="Times New Roman"/>
        </w:rPr>
        <w:t>)</w:t>
      </w:r>
      <w:r w:rsidR="00B66795">
        <w:rPr>
          <w:rFonts w:ascii="Times New Roman" w:hAnsi="Times New Roman"/>
        </w:rPr>
        <w:t>.</w:t>
      </w:r>
    </w:p>
    <w:p w14:paraId="2673B57A" w14:textId="77777777" w:rsidR="00EB1580" w:rsidRPr="004C2EB7" w:rsidRDefault="00EB1580" w:rsidP="00EB1580">
      <w:pPr>
        <w:spacing w:line="360" w:lineRule="auto"/>
        <w:rPr>
          <w:rFonts w:ascii="Times New Roman" w:hAnsi="Times New Roman"/>
          <w:b/>
        </w:rPr>
      </w:pPr>
      <w:r w:rsidRPr="004C2EB7">
        <w:rPr>
          <w:rFonts w:ascii="Times New Roman" w:hAnsi="Times New Roman"/>
        </w:rPr>
        <w:br w:type="column"/>
      </w:r>
      <w:r w:rsidRPr="004C2EB7">
        <w:rPr>
          <w:rFonts w:ascii="Times New Roman" w:hAnsi="Times New Roman"/>
          <w:b/>
        </w:rPr>
        <w:lastRenderedPageBreak/>
        <w:t>Discussion</w:t>
      </w:r>
    </w:p>
    <w:p w14:paraId="085B3112" w14:textId="63560C60" w:rsidR="009959ED" w:rsidRDefault="00353F7A" w:rsidP="00EB1580">
      <w:pPr>
        <w:spacing w:line="360" w:lineRule="auto"/>
        <w:rPr>
          <w:rFonts w:ascii="Times New Roman" w:hAnsi="Times New Roman"/>
        </w:rPr>
      </w:pPr>
      <w:r>
        <w:rPr>
          <w:rFonts w:ascii="Times New Roman" w:hAnsi="Times New Roman"/>
        </w:rPr>
        <w:tab/>
      </w:r>
      <w:r w:rsidR="007E4BDE">
        <w:rPr>
          <w:rFonts w:ascii="Times New Roman" w:hAnsi="Times New Roman"/>
        </w:rPr>
        <w:t>We were unable to robustly or consistently reject the null hypothesis that c</w:t>
      </w:r>
      <w:r w:rsidR="00DA6C3A" w:rsidRPr="00C031C0">
        <w:rPr>
          <w:rFonts w:ascii="Times New Roman" w:hAnsi="Times New Roman"/>
        </w:rPr>
        <w:t>hanges in primary care physician density were not related to overall life expectancy over the period 2005-2015</w:t>
      </w:r>
      <w:r w:rsidR="007E4BDE">
        <w:rPr>
          <w:rFonts w:ascii="Times New Roman" w:hAnsi="Times New Roman"/>
        </w:rPr>
        <w:t xml:space="preserve"> among U.S. counties</w:t>
      </w:r>
      <w:r w:rsidR="00200D86">
        <w:rPr>
          <w:rFonts w:ascii="Times New Roman" w:hAnsi="Times New Roman"/>
        </w:rPr>
        <w:t xml:space="preserve">, but we did find consistent relations between increased primary care physician density and cause-specific mortality </w:t>
      </w:r>
      <w:r w:rsidR="00122146">
        <w:rPr>
          <w:rFonts w:ascii="Times New Roman" w:hAnsi="Times New Roman"/>
        </w:rPr>
        <w:t>from</w:t>
      </w:r>
      <w:r w:rsidR="00200D86">
        <w:rPr>
          <w:rFonts w:ascii="Times New Roman" w:hAnsi="Times New Roman"/>
        </w:rPr>
        <w:t xml:space="preserve"> cardiovascular diseases and substance use/injury</w:t>
      </w:r>
      <w:r w:rsidR="007E4BDE">
        <w:rPr>
          <w:rFonts w:ascii="Times New Roman" w:hAnsi="Times New Roman"/>
        </w:rPr>
        <w:t xml:space="preserve">. </w:t>
      </w:r>
      <w:r w:rsidR="006B18A5">
        <w:rPr>
          <w:rFonts w:ascii="Times New Roman" w:hAnsi="Times New Roman"/>
        </w:rPr>
        <w:t>Unfortunately, we observed that e</w:t>
      </w:r>
      <w:r w:rsidR="008868D7">
        <w:rPr>
          <w:rFonts w:ascii="Times New Roman" w:hAnsi="Times New Roman"/>
        </w:rPr>
        <w:t xml:space="preserve">fforts to expand </w:t>
      </w:r>
      <w:r w:rsidR="006B18A5">
        <w:rPr>
          <w:rFonts w:ascii="Times New Roman" w:hAnsi="Times New Roman"/>
        </w:rPr>
        <w:t xml:space="preserve">the </w:t>
      </w:r>
      <w:r w:rsidR="008868D7">
        <w:rPr>
          <w:rFonts w:ascii="Times New Roman" w:hAnsi="Times New Roman"/>
        </w:rPr>
        <w:t xml:space="preserve">supply </w:t>
      </w:r>
      <w:r w:rsidR="006B18A5">
        <w:rPr>
          <w:rFonts w:ascii="Times New Roman" w:hAnsi="Times New Roman"/>
        </w:rPr>
        <w:t xml:space="preserve">of primary care physicians do not </w:t>
      </w:r>
      <w:r w:rsidR="008868D7">
        <w:rPr>
          <w:rFonts w:ascii="Times New Roman" w:hAnsi="Times New Roman"/>
        </w:rPr>
        <w:t xml:space="preserve">seem to have been effective </w:t>
      </w:r>
      <w:r w:rsidR="009959ED">
        <w:rPr>
          <w:rFonts w:ascii="Times New Roman" w:hAnsi="Times New Roman"/>
        </w:rPr>
        <w:t xml:space="preserve">at the national level </w:t>
      </w:r>
      <w:r w:rsidR="008868D7">
        <w:rPr>
          <w:rFonts w:ascii="Times New Roman" w:hAnsi="Times New Roman"/>
        </w:rPr>
        <w:t>in the period studied</w:t>
      </w:r>
      <w:r w:rsidR="006B18A5">
        <w:rPr>
          <w:rFonts w:ascii="Times New Roman" w:hAnsi="Times New Roman"/>
        </w:rPr>
        <w:t xml:space="preserve">, </w:t>
      </w:r>
      <w:r w:rsidR="009959ED">
        <w:rPr>
          <w:rFonts w:ascii="Times New Roman" w:hAnsi="Times New Roman"/>
        </w:rPr>
        <w:t xml:space="preserve">at least when evaluating by county-level density; </w:t>
      </w:r>
      <w:r w:rsidR="006B18A5">
        <w:rPr>
          <w:rFonts w:ascii="Times New Roman" w:hAnsi="Times New Roman"/>
        </w:rPr>
        <w:t xml:space="preserve">primary care physician supply </w:t>
      </w:r>
      <w:r w:rsidR="009959ED">
        <w:rPr>
          <w:rFonts w:ascii="Times New Roman" w:hAnsi="Times New Roman"/>
        </w:rPr>
        <w:t xml:space="preserve">decreased overall, and </w:t>
      </w:r>
      <w:r w:rsidR="006B18A5">
        <w:rPr>
          <w:rFonts w:ascii="Times New Roman" w:hAnsi="Times New Roman"/>
        </w:rPr>
        <w:t xml:space="preserve">disproportionately in rural and lower-income areas. </w:t>
      </w:r>
      <w:r w:rsidR="009F278F">
        <w:rPr>
          <w:rFonts w:ascii="Times New Roman" w:hAnsi="Times New Roman"/>
        </w:rPr>
        <w:t>O</w:t>
      </w:r>
      <w:r w:rsidR="006B18A5">
        <w:rPr>
          <w:rFonts w:ascii="Times New Roman" w:hAnsi="Times New Roman"/>
        </w:rPr>
        <w:t>ur findings also indicate</w:t>
      </w:r>
      <w:r w:rsidR="009F278F">
        <w:rPr>
          <w:rFonts w:ascii="Times New Roman" w:hAnsi="Times New Roman"/>
        </w:rPr>
        <w:t>, however,</w:t>
      </w:r>
      <w:r w:rsidR="006B18A5">
        <w:rPr>
          <w:rFonts w:ascii="Times New Roman" w:hAnsi="Times New Roman"/>
        </w:rPr>
        <w:t xml:space="preserve"> </w:t>
      </w:r>
      <w:r w:rsidR="009F278F">
        <w:rPr>
          <w:rFonts w:ascii="Times New Roman" w:hAnsi="Times New Roman"/>
        </w:rPr>
        <w:t xml:space="preserve">that </w:t>
      </w:r>
      <w:r w:rsidR="00476017">
        <w:rPr>
          <w:rFonts w:ascii="Times New Roman" w:hAnsi="Times New Roman"/>
        </w:rPr>
        <w:t xml:space="preserve">increases in primary care supply </w:t>
      </w:r>
      <w:r w:rsidR="009F278F">
        <w:rPr>
          <w:rFonts w:ascii="Times New Roman" w:hAnsi="Times New Roman"/>
        </w:rPr>
        <w:t xml:space="preserve">do not appear to </w:t>
      </w:r>
      <w:r w:rsidR="00C80BF6">
        <w:rPr>
          <w:rFonts w:ascii="Times New Roman" w:hAnsi="Times New Roman"/>
        </w:rPr>
        <w:t xml:space="preserve">be </w:t>
      </w:r>
      <w:r w:rsidR="00476017">
        <w:rPr>
          <w:rFonts w:ascii="Times New Roman" w:hAnsi="Times New Roman"/>
        </w:rPr>
        <w:t xml:space="preserve">consistently </w:t>
      </w:r>
      <w:r w:rsidR="00C80BF6">
        <w:rPr>
          <w:rFonts w:ascii="Times New Roman" w:hAnsi="Times New Roman"/>
        </w:rPr>
        <w:t xml:space="preserve">associated with </w:t>
      </w:r>
      <w:r w:rsidR="00476017">
        <w:rPr>
          <w:rFonts w:ascii="Times New Roman" w:hAnsi="Times New Roman"/>
        </w:rPr>
        <w:t xml:space="preserve">population-level improvements to life expectancy or </w:t>
      </w:r>
      <w:r w:rsidR="00200D86">
        <w:rPr>
          <w:rFonts w:ascii="Times New Roman" w:hAnsi="Times New Roman"/>
        </w:rPr>
        <w:t xml:space="preserve">most sources of </w:t>
      </w:r>
      <w:r w:rsidR="00476017">
        <w:rPr>
          <w:rFonts w:ascii="Times New Roman" w:hAnsi="Times New Roman"/>
        </w:rPr>
        <w:t>cause-specific mortality</w:t>
      </w:r>
      <w:r w:rsidR="00C80BF6">
        <w:rPr>
          <w:rFonts w:ascii="Times New Roman" w:hAnsi="Times New Roman"/>
        </w:rPr>
        <w:t>, net of confounding factors</w:t>
      </w:r>
      <w:r w:rsidR="00476017">
        <w:rPr>
          <w:rFonts w:ascii="Times New Roman" w:hAnsi="Times New Roman"/>
        </w:rPr>
        <w:t xml:space="preserve">. </w:t>
      </w:r>
      <w:r w:rsidR="009F278F">
        <w:rPr>
          <w:rFonts w:ascii="Times New Roman" w:hAnsi="Times New Roman"/>
        </w:rPr>
        <w:t xml:space="preserve">While </w:t>
      </w:r>
      <w:r w:rsidR="00476017">
        <w:rPr>
          <w:rFonts w:ascii="Times New Roman" w:hAnsi="Times New Roman"/>
        </w:rPr>
        <w:t xml:space="preserve">initiatives that seek to evaluate primary care supply have proposed large population-level metrics based on </w:t>
      </w:r>
      <w:r w:rsidR="00200D86">
        <w:rPr>
          <w:rFonts w:ascii="Times New Roman" w:hAnsi="Times New Roman"/>
        </w:rPr>
        <w:t>area-level</w:t>
      </w:r>
      <w:r w:rsidR="00476017">
        <w:rPr>
          <w:rFonts w:ascii="Times New Roman" w:hAnsi="Times New Roman"/>
        </w:rPr>
        <w:t xml:space="preserve"> mortality as appropriate indicators of effective supply</w:t>
      </w:r>
      <w:r w:rsidR="009F278F">
        <w:rPr>
          <w:rFonts w:ascii="Times New Roman" w:hAnsi="Times New Roman"/>
        </w:rPr>
        <w:t>,</w:t>
      </w:r>
      <w:r w:rsidR="00BC30C6">
        <w:rPr>
          <w:rFonts w:ascii="Times New Roman" w:hAnsi="Times New Roman"/>
        </w:rPr>
        <w:fldChar w:fldCharType="begin" w:fldLock="1"/>
      </w:r>
      <w:r w:rsidR="00BC30C6">
        <w:rPr>
          <w:rFonts w:ascii="Times New Roman" w:hAnsi="Times New Roman"/>
        </w:rPr>
        <w:instrText>ADDIN CSL_CITATION { "citationItems" : [ { "id" : "ITEM-1", "itemData" : { "DOI" : "10.1370/afm.1915", "ISSN" : "1544-1717", "PMID" : "26951582", "author" : [ { "dropping-particle" : "", "family" : "Kaufman", "given" : "Arthur", "non-dropping-particle" : "", "parse-names" : false, "suffix" : "" } ], "container-title" : "Annals of family medicine", "id" : "ITEM-1", "issue" : "2", "issued" : { "date-parts" : [ [ "2016", "3", "1" ] ] }, "page" : "100-1", "publisher" : "American Academy of Family Physicians", "title" : "Theory vs Practice: Should Primary Care Practice Take on Social Determinants of Health Now? Yes.", "type" : "article-journal", "volume" : "14" }, "uris" : [ "http://www.mendeley.com/documents/?uuid=5c3429ad-a6c5-3d38-b237-30b8d6a39ee8" ] } ], "mendeley" : { "formattedCitation" : "&lt;sup&gt;22&lt;/sup&gt;", "plainTextFormattedCitation" : "22", "previouslyFormattedCitation" : "&lt;sup&gt;22&lt;/sup&gt;" }, "properties" : {  }, "schema" : "https://github.com/citation-style-language/schema/raw/master/csl-citation.json" }</w:instrText>
      </w:r>
      <w:r w:rsidR="00BC30C6">
        <w:rPr>
          <w:rFonts w:ascii="Times New Roman" w:hAnsi="Times New Roman"/>
        </w:rPr>
        <w:fldChar w:fldCharType="separate"/>
      </w:r>
      <w:r w:rsidR="00BC30C6" w:rsidRPr="00AB754F">
        <w:rPr>
          <w:rFonts w:ascii="Times New Roman" w:hAnsi="Times New Roman"/>
          <w:noProof/>
          <w:vertAlign w:val="superscript"/>
        </w:rPr>
        <w:t>22</w:t>
      </w:r>
      <w:r w:rsidR="00BC30C6">
        <w:rPr>
          <w:rFonts w:ascii="Times New Roman" w:hAnsi="Times New Roman"/>
        </w:rPr>
        <w:fldChar w:fldCharType="end"/>
      </w:r>
      <w:r w:rsidR="00476017">
        <w:rPr>
          <w:rFonts w:ascii="Times New Roman" w:hAnsi="Times New Roman"/>
        </w:rPr>
        <w:t xml:space="preserve"> </w:t>
      </w:r>
      <w:r w:rsidR="009F278F">
        <w:rPr>
          <w:rFonts w:ascii="Times New Roman" w:hAnsi="Times New Roman"/>
        </w:rPr>
        <w:t>o</w:t>
      </w:r>
      <w:r w:rsidR="00476017">
        <w:rPr>
          <w:rFonts w:ascii="Times New Roman" w:hAnsi="Times New Roman"/>
        </w:rPr>
        <w:t>ur findings suggest that such indicators may not be consistently or measurably influenced by primary care physician supply</w:t>
      </w:r>
      <w:r w:rsidR="00200D86">
        <w:rPr>
          <w:rFonts w:ascii="Times New Roman" w:hAnsi="Times New Roman"/>
        </w:rPr>
        <w:t xml:space="preserve">, except in the cardiovascular and substance use/injury </w:t>
      </w:r>
      <w:r w:rsidR="00EF01EC">
        <w:rPr>
          <w:rFonts w:ascii="Times New Roman" w:hAnsi="Times New Roman"/>
        </w:rPr>
        <w:t>domains</w:t>
      </w:r>
      <w:r w:rsidR="00476017">
        <w:rPr>
          <w:rFonts w:ascii="Times New Roman" w:hAnsi="Times New Roman"/>
        </w:rPr>
        <w:t xml:space="preserve">. </w:t>
      </w:r>
    </w:p>
    <w:p w14:paraId="0DC07818" w14:textId="540FCCD0" w:rsidR="00210524" w:rsidRDefault="009959ED" w:rsidP="003D6CF1">
      <w:pPr>
        <w:spacing w:line="360" w:lineRule="auto"/>
        <w:ind w:firstLine="720"/>
        <w:rPr>
          <w:rFonts w:ascii="Times New Roman" w:hAnsi="Times New Roman"/>
        </w:rPr>
      </w:pPr>
      <w:r>
        <w:rPr>
          <w:rFonts w:ascii="Times New Roman" w:hAnsi="Times New Roman"/>
        </w:rPr>
        <w:t>Primary care physician supply may be vital and desirable for many individual-level reasons, such as to provide humane, accessible</w:t>
      </w:r>
      <w:r w:rsidR="0053410A">
        <w:rPr>
          <w:rFonts w:ascii="Times New Roman" w:hAnsi="Times New Roman"/>
        </w:rPr>
        <w:t>, timely</w:t>
      </w:r>
      <w:r>
        <w:rPr>
          <w:rFonts w:ascii="Times New Roman" w:hAnsi="Times New Roman"/>
        </w:rPr>
        <w:t xml:space="preserve"> care and improve individual patient </w:t>
      </w:r>
      <w:r w:rsidR="00B0575A">
        <w:rPr>
          <w:rFonts w:ascii="Times New Roman" w:hAnsi="Times New Roman"/>
        </w:rPr>
        <w:t xml:space="preserve">medical </w:t>
      </w:r>
      <w:r w:rsidR="00AE41A6">
        <w:rPr>
          <w:rFonts w:ascii="Times New Roman" w:hAnsi="Times New Roman"/>
        </w:rPr>
        <w:t xml:space="preserve">and psychosocial </w:t>
      </w:r>
      <w:r>
        <w:rPr>
          <w:rFonts w:ascii="Times New Roman" w:hAnsi="Times New Roman"/>
        </w:rPr>
        <w:t xml:space="preserve">outcomes. Yet our assessment differs from prior studies that associated state-level primary care physician density with </w:t>
      </w:r>
      <w:r w:rsidR="00BB5BC0">
        <w:rPr>
          <w:rFonts w:ascii="Times New Roman" w:hAnsi="Times New Roman"/>
        </w:rPr>
        <w:t xml:space="preserve">overall </w:t>
      </w:r>
      <w:r>
        <w:rPr>
          <w:rFonts w:ascii="Times New Roman" w:hAnsi="Times New Roman"/>
        </w:rPr>
        <w:t>life-expectancy</w:t>
      </w:r>
      <w:r w:rsidR="003D6CF1">
        <w:rPr>
          <w:rFonts w:ascii="Times New Roman" w:hAnsi="Times New Roman"/>
        </w:rPr>
        <w:t xml:space="preserve">, </w:t>
      </w:r>
      <w:r w:rsidR="00276374">
        <w:rPr>
          <w:rFonts w:ascii="Times New Roman" w:hAnsi="Times New Roman"/>
        </w:rPr>
        <w:t>while being similar to prior studies finding</w:t>
      </w:r>
      <w:r w:rsidR="003D6CF1">
        <w:rPr>
          <w:rFonts w:ascii="Times New Roman" w:hAnsi="Times New Roman"/>
        </w:rPr>
        <w:t xml:space="preserve"> that primary care supply is related to lower cardiovascular disease deaths</w:t>
      </w:r>
      <w:r>
        <w:rPr>
          <w:rFonts w:ascii="Times New Roman" w:hAnsi="Times New Roman"/>
        </w:rPr>
        <w:t>.</w:t>
      </w:r>
      <w:r w:rsidR="00BC30C6">
        <w:rPr>
          <w:rFonts w:ascii="Times New Roman" w:hAnsi="Times New Roman"/>
        </w:rPr>
        <w:fldChar w:fldCharType="begin" w:fldLock="1"/>
      </w:r>
      <w:r w:rsidR="00387AB4">
        <w:rPr>
          <w:rFonts w:ascii="Times New Roman" w:hAnsi="Times New Roman"/>
        </w:rPr>
        <w:instrText>ADDIN CSL_CITATION { "citationItems" : [ { "id" : "ITEM-1", "itemData" : { "ISSN" : "0090-0036", "PMID" : "11499112", "abstract" : "OBJECTIVES This study assessed whether income inequality and primary care physician supply have a different effect on mortality among Blacks compared with Whites. METHODS We conducted a multivariate ecologic analysis of 1990 data from 273 US metropolitan areas. RESULTS Both income inequality and primary care physician supply were significantly associated with White mortality (P &lt; .01). After the inclusion of the socioeconomic status covariates, the effect of income inequality on Black mortality remained significant (P &lt; .01), but the effect of primary care physician supply was no longer significant (P &gt; .10), particularly in areas with high income inequality. CONCLUSIONS Improvement in population health requires addressing socioeconomic determinants of health, including income inequality and primary care availability and access.", "author" : [ { "dropping-particle" : "", "family" : "Shi", "given" : "L", "non-dropping-particle" : "", "parse-names" : false, "suffix" : "" }, { "dropping-particle" : "", "family" : "Starfield", "given" : "B", "non-dropping-particle" : "", "parse-names" : false, "suffix" : "" } ], "container-title" : "American journal of public health", "id" : "ITEM-1", "issue" : "8", "issued" : { "date-parts" : [ [ "2001", "8" ] ] }, "page" : "1246-50", "publisher" : "American Public Health Association", "title" : "The effect of primary care physician supply and income inequality on mortality among blacks and whites in US metropolitan areas.", "type" : "article-journal", "volume" : "91" }, "uris" : [ "http://www.mendeley.com/documents/?uuid=8b840a0e-01b4-309f-8c45-245266d2106e" ] }, { "id" : "ITEM-2", "itemData" : { "DOI" : "10.1161/01.STR.0000082380.80444.A9", "ISSN" : "0039-2499", "PMID" : "12843344", "abstract" : "BACKGROUND AND PURPOSE The goal of this study was to test whether primary care reduces the impact of income inequality on stroke mortality. METHODS This study used pooled time-series cross-sectional analysis of 11 years of state-level data (n=549). Analyses controlled for education levels, unemployment, racial/ethnic composition, and percent urban. Contemporaneous and time-lagged covariates were modeled. RESULTS Primary care was negatively associated with stroke mortality in models including all covariates (P&lt;0.0001). The impact of income inequality on stroke mortality was reduced in the presence of primary care (P&lt;0.0001) but disappeared with the addition of covariates (P&gt;0.05). CONCLUSIONS In the absence of social policy that addresses sociodemographic determinants of health, primary care promotion may serve as a palliative strategy for combating stroke mortality and reducing the adverse impact of income inequality on health.", "author" : [ { "dropping-particle" : "", "family" : "Shi", "given" : "L.", "non-dropping-particle" : "", "parse-names" : false, "suffix" : "" }, { "dropping-particle" : "", "family" : "Macinko", "given" : "J.", "non-dropping-particle" : "", "parse-names" : false, "suffix" : "" }, { "dropping-particle" : "", "family" : "Starfield", "given" : "B.", "non-dropping-particle" : "", "parse-names" : false, "suffix" : "" }, { "dropping-particle" : "", "family" : "Xu", "given" : "J.", "non-dropping-particle" : "", "parse-names" : false, "suffix" : "" }, { "dropping-particle" : "", "family" : "Politzer", "given" : "R.", "non-dropping-particle" : "", "parse-names" : false, "suffix" : "" } ], "container-title" : "Stroke", "id" : "ITEM-2", "issue" : "8", "issued" : { "date-parts" : [ [ "2003", "8", "1" ] ] }, "page" : "1958-1964", "title" : "Primary Care, Income Inequality, and Stroke Mortality in the United States: A Longitudinal Analysis, 1985-1995", "type" : "article-journal", "volume" : "34" }, "uris" : [ "http://www.mendeley.com/documents/?uuid=9fcaf787-96f9-3868-869c-5df215864de4" ] }, { "id" : "ITEM-3", "itemData" : { "ISSN" : "0893-8652", "PMID" : "14645332", "abstract" : "OBJECTIVES This study tests the robustness of the relationships between primary care, income inequality, and population health by (1) assessing the relationship during 4 time periods-1980, 1985, 1990 and 1995; (2) examining the independent effect of components of the primary care physician supply; (3) using 2 different measures of income inequality (Robin Hood index and Gini coefficient); and (4) testing the robustness of the association by using 5-year time-lagged independent variables. DATA SOURCES/STUDY SETTING Data are derived from the Compressed Mortality Files, the US Department of Commerce and the Census Bureau, the National Center for Health Statistics, the Centers for Disease Control and Prevention, and the American Medical Association Physician Master File. The unit of analysis was the 50 US states over a 15-year period. STUDY DESIGN Ecological, cross-sectional design for 4 selected years (1980, 1985, 1990, 1995), and incorporating 5-year time-lagged independent variables. The main outcome measure is age-standardized, all-cause mortality per 100,000 population in all 50 US states in all 4 time periods. DATA COLLECTION/EXTRACTION METHODS The study used secondary data from publicly available data sets. The CDC WONDER/PC software was used to obtain mortality data and directly standardize them for age to the 1980 US population. Data used to calculate the income inequality measure came from the US census population and housing summary tapes for the years 1980 to 1995. Counts of the number of households that fell into each income interval along with the total aggregate income and the median household income were obtained for each state. The Gini coefficient for each state was calculated using software developed for this purpose. RESULTS In weighted multivariate regressions, both contemporaneous and time-lagged income inequality measures (Gini coefficient, Robin Hood Index) were significantly associated with all-cause mortality (P &lt;.05 for both measures for all time periods). Contemporaneous and time-lagged primary care physician-to-population ratios were significantly associated with lower all-cause mortality (P &lt;.05 for all 4 time periods), whereas specialty care measures were associated with higher mortality (P &lt;.05 for all time periods, except 1990, where P &lt;.1). Among primary care subspecialties, only family medicine was consistently associated with lower mortality (P &lt;.01 for all time periods). CONCLUSIONS Enhancing primary care, particularly f\u2026", "author" : [ { "dropping-particle" : "", "family" : "Shi", "given" : "Leiyu", "non-dropping-particle" : "", "parse-names" : false, "suffix" : "" }, { "dropping-particle" : "", "family" : "Macinko", "given" : "James", "non-dropping-particle" : "", "parse-names" : false, "suffix" : "" }, { "dropping-particle" : "", "family" : "Starfield", "given" : "Barbara", "non-dropping-particle" : "", "parse-names" : false, "suffix" : "" }, { "dropping-particle" : "", "family" : "Wulu", "given" : "John", "non-dropping-particle" : "", "parse-names" : false, "suffix" : "" }, { "dropping-particle" : "", "family" : "Regan", "given" : "Jerri", "non-dropping-particle" : "", "parse-names" : false, "suffix" : "" }, { "dropping-particle" : "", "family" : "Politzer", "given" : "Robert", "non-dropping-particle" : "", "parse-names" : false, "suffix" : "" } ], "container-title" : "The Journal of the American Board of Family Practice", "id" : "ITEM-3", "issue" : "5", "issued" : { "date-parts" : [ [ "0" ] ] }, "page" : "412-22", "title" : "The relationship between primary care, income inequality, and mortality in US States, 1980-1995.", "type" : "article-journal", "volume" : "16" }, "uris" : [ "http://www.mendeley.com/documents/?uuid=3abd6bca-3a3a-3352-8faf-f49dddd68928" ] }, { "id" : "ITEM-4", "itemData" : { "DOI" : "10.1016/J.SOCSCIMED.2004.11.056", "ISSN" : "0277-9536", "abstract" : "This study used US state-level data from 1985 to 1995 to examine the relationship of primary care resources and income inequality with all-cause mortality within the entire population, and in black and white populations. The study is a pooled ecological design with repeated measures using 11 years of state-level data (n=549). Analyses controlled for socioeconomic and demographic characteristics. Contemporaneous and time-lagged covariates were modeled, and all analyses were stratified by race/ethnicity. In all models, primary care was associated with lower mortality. An increase of one primary care doctor per 10,000 population was associated with a reduction of 14.4 deaths per 100,000. The magnitude of primary care coefficients was higher for black mortality than for white mortality. Income inequality was not associated with mortality after controlling for state-level sociodemographic covariates. The study provides evidence that primary care resources are associated with population health and could aid in reducing socioeconomic disparities in health.", "author" : [ { "dropping-particle" : "", "family" : "Shi", "given" : "Leiyu", "non-dropping-particle" : "", "parse-names" : false, "suffix" : "" }, { "dropping-particle" : "", "family" : "Macinko", "given" : "James", "non-dropping-particle" : "", "parse-names" : false, "suffix" : "" }, { "dropping-particle" : "", "family" : "Starfield", "given" : "Barbara", "non-dropping-particle" : "", "parse-names" : false, "suffix" : "" }, { "dropping-particle" : "", "family" : "Politzer", "given" : "Robert", "non-dropping-particle" : "", "parse-names" : false, "suffix" : "" }, { "dropping-particle" : "", "family" : "Xu", "given" : "Jiahong", "non-dropping-particle" : "", "parse-names" : false, "suffix" : "" } ], "container-title" : "Social Science &amp; Medicine", "id" : "ITEM-4", "issue" : "1", "issued" : { "date-parts" : [ [ "2005", "7", "1" ] ] }, "page" : "65-75", "publisher" : "Pergamon", "title" : "Primary care, race, and mortality in US states", "type" : "article-journal", "volume" : "61" }, "uris" : [ "http://www.mendeley.com/documents/?uuid=089463a3-2e1f-386a-af88-924636faf244" ] } ], "mendeley" : { "formattedCitation" : "&lt;sup&gt;8\u201310,12&lt;/sup&gt;", "plainTextFormattedCitation" : "8\u201310,12", "previouslyFormattedCitation" : "&lt;sup&gt;8\u201310,12&lt;/sup&gt;" }, "properties" : {  }, "schema" : "https://github.com/citation-style-language/schema/raw/master/csl-citation.json" }</w:instrText>
      </w:r>
      <w:r w:rsidR="00BC30C6">
        <w:rPr>
          <w:rFonts w:ascii="Times New Roman" w:hAnsi="Times New Roman"/>
        </w:rPr>
        <w:fldChar w:fldCharType="separate"/>
      </w:r>
      <w:r w:rsidR="00387AB4" w:rsidRPr="00387AB4">
        <w:rPr>
          <w:rFonts w:ascii="Times New Roman" w:hAnsi="Times New Roman"/>
          <w:noProof/>
          <w:vertAlign w:val="superscript"/>
        </w:rPr>
        <w:t>8–10,12</w:t>
      </w:r>
      <w:r w:rsidR="00BC30C6">
        <w:rPr>
          <w:rFonts w:ascii="Times New Roman" w:hAnsi="Times New Roman"/>
        </w:rPr>
        <w:fldChar w:fldCharType="end"/>
      </w:r>
      <w:r>
        <w:rPr>
          <w:rFonts w:ascii="Times New Roman" w:hAnsi="Times New Roman"/>
        </w:rPr>
        <w:t xml:space="preserve"> Our results may be different </w:t>
      </w:r>
      <w:r w:rsidR="003D6CF1">
        <w:rPr>
          <w:rFonts w:ascii="Times New Roman" w:hAnsi="Times New Roman"/>
        </w:rPr>
        <w:t xml:space="preserve">with regard to overall life expectancy </w:t>
      </w:r>
      <w:r>
        <w:rPr>
          <w:rFonts w:ascii="Times New Roman" w:hAnsi="Times New Roman"/>
        </w:rPr>
        <w:t xml:space="preserve">because of the increased number of control variables considered in our assessment, including other non-primary-care physician density and </w:t>
      </w:r>
      <w:r w:rsidR="00361598">
        <w:rPr>
          <w:rFonts w:ascii="Times New Roman" w:hAnsi="Times New Roman"/>
        </w:rPr>
        <w:t>numerous socio-economic and demographic features. Our model specifications also attempted to control for time-invariant unobserved factors such as local cultural factors that are unmeasured</w:t>
      </w:r>
      <w:r w:rsidR="00387AB4">
        <w:rPr>
          <w:rFonts w:ascii="Times New Roman" w:hAnsi="Times New Roman"/>
        </w:rPr>
        <w:t xml:space="preserve"> and may both attract physicians to an area and be related to lower mortality</w:t>
      </w:r>
      <w:r w:rsidR="00361598">
        <w:rPr>
          <w:rFonts w:ascii="Times New Roman" w:hAnsi="Times New Roman"/>
        </w:rPr>
        <w:t xml:space="preserve">. </w:t>
      </w:r>
      <w:r w:rsidR="007B5541">
        <w:rPr>
          <w:rFonts w:ascii="Times New Roman" w:hAnsi="Times New Roman"/>
        </w:rPr>
        <w:t xml:space="preserve">Our results are also concordant with the idea that </w:t>
      </w:r>
      <w:r w:rsidR="00C72B27">
        <w:rPr>
          <w:rFonts w:ascii="Times New Roman" w:hAnsi="Times New Roman"/>
        </w:rPr>
        <w:t>healthcare</w:t>
      </w:r>
      <w:r w:rsidR="007B5541">
        <w:rPr>
          <w:rFonts w:ascii="Times New Roman" w:hAnsi="Times New Roman"/>
        </w:rPr>
        <w:t xml:space="preserve"> reforms may need to be </w:t>
      </w:r>
      <w:r w:rsidR="00C72B27">
        <w:rPr>
          <w:rFonts w:ascii="Times New Roman" w:hAnsi="Times New Roman"/>
        </w:rPr>
        <w:t xml:space="preserve">directly address </w:t>
      </w:r>
      <w:r w:rsidR="007B5541">
        <w:rPr>
          <w:rFonts w:ascii="Times New Roman" w:hAnsi="Times New Roman"/>
        </w:rPr>
        <w:t xml:space="preserve">the larger social determinants of health, which overwhelm primary care supply as influencers of </w:t>
      </w:r>
      <w:r w:rsidR="00F657A8">
        <w:rPr>
          <w:rFonts w:ascii="Times New Roman" w:hAnsi="Times New Roman"/>
        </w:rPr>
        <w:t>county</w:t>
      </w:r>
      <w:r w:rsidR="007B5541">
        <w:rPr>
          <w:rFonts w:ascii="Times New Roman" w:hAnsi="Times New Roman"/>
        </w:rPr>
        <w:t xml:space="preserve">-level mortality. </w:t>
      </w:r>
      <w:r w:rsidR="003D6CF1">
        <w:rPr>
          <w:rFonts w:ascii="Times New Roman" w:hAnsi="Times New Roman"/>
        </w:rPr>
        <w:t xml:space="preserve">Nevertheless, our finding that primary care supply </w:t>
      </w:r>
      <w:r w:rsidR="003D6CF1">
        <w:rPr>
          <w:rFonts w:ascii="Times New Roman" w:hAnsi="Times New Roman"/>
        </w:rPr>
        <w:lastRenderedPageBreak/>
        <w:t>may be beneficial in reducing substance use/injury deaths is important in the context of ongoing increases in</w:t>
      </w:r>
      <w:r w:rsidR="00191F13">
        <w:rPr>
          <w:rFonts w:ascii="Times New Roman" w:hAnsi="Times New Roman"/>
        </w:rPr>
        <w:t xml:space="preserve"> “diseases of desperation”</w:t>
      </w:r>
      <w:r w:rsidR="003D6CF1">
        <w:rPr>
          <w:rFonts w:ascii="Times New Roman" w:hAnsi="Times New Roman"/>
        </w:rPr>
        <w:t xml:space="preserve"> nationwide, particularly in the rural and lower-income counties that have disproportionately lost primary care providers.</w:t>
      </w:r>
      <w:r w:rsidR="00210524">
        <w:rPr>
          <w:rFonts w:ascii="Times New Roman" w:hAnsi="Times New Roman"/>
        </w:rPr>
        <w:tab/>
      </w:r>
    </w:p>
    <w:p w14:paraId="05204F9F" w14:textId="686F6750" w:rsidR="005D07F1" w:rsidRDefault="00387AB4" w:rsidP="00EB1580">
      <w:pPr>
        <w:spacing w:line="360" w:lineRule="auto"/>
        <w:rPr>
          <w:rFonts w:ascii="Times New Roman" w:hAnsi="Times New Roman"/>
        </w:rPr>
      </w:pPr>
      <w:r>
        <w:rPr>
          <w:rFonts w:ascii="Times New Roman" w:hAnsi="Times New Roman"/>
        </w:rPr>
        <w:tab/>
      </w:r>
      <w:r w:rsidR="00CF79A0">
        <w:rPr>
          <w:rFonts w:ascii="Times New Roman" w:hAnsi="Times New Roman"/>
        </w:rPr>
        <w:t xml:space="preserve">Our study conclusions must be accompanied by acknowledgement of important limitations. First, to avoid ecological fallacies, we do not make conclusions about individual-level effects of population-level associations, and we are limited in being unable to provide guidance to individuals or households based on the aggregate county-level data studied here. Second, county-level analyses can be limited by the possibility that </w:t>
      </w:r>
      <w:proofErr w:type="gramStart"/>
      <w:r w:rsidR="00CF79A0">
        <w:rPr>
          <w:rFonts w:ascii="Times New Roman" w:hAnsi="Times New Roman"/>
        </w:rPr>
        <w:t>individuals</w:t>
      </w:r>
      <w:proofErr w:type="gramEnd"/>
      <w:r w:rsidR="00CF79A0">
        <w:rPr>
          <w:rFonts w:ascii="Times New Roman" w:hAnsi="Times New Roman"/>
        </w:rPr>
        <w:t xml:space="preserve"> cross county borders to reach healthcare services. Conversely, summary statistics at the county level may mask inequalities exper</w:t>
      </w:r>
      <w:r w:rsidR="008D66FB">
        <w:rPr>
          <w:rFonts w:ascii="Times New Roman" w:hAnsi="Times New Roman"/>
        </w:rPr>
        <w:t>ienced among smaller populations.</w:t>
      </w:r>
      <w:r w:rsidR="00D62C72">
        <w:rPr>
          <w:rFonts w:ascii="Times New Roman" w:hAnsi="Times New Roman"/>
        </w:rPr>
        <w:fldChar w:fldCharType="begin" w:fldLock="1"/>
      </w:r>
      <w:r w:rsidR="006B0760">
        <w:rPr>
          <w:rFonts w:ascii="Times New Roman" w:hAnsi="Times New Roman"/>
        </w:rPr>
        <w:instrText>ADDIN CSL_CITATION { "citationItems" : [ { "id" : "ITEM-1", "itemData" : { "DOI" : "10.1001/jama.2016.12818", "ISSN" : "0098-7484", "author" : [ { "dropping-particle" : "", "family" : "Clark", "given" : "Cheryl R.", "non-dropping-particle" : "", "parse-names" : false, "suffix" : "" }, { "dropping-particle" : "", "family" : "Williams", "given" : "David R.", "non-dropping-particle" : "", "parse-names" : false, "suffix" : "" }, { "dropping-particle" : "", "family" : "L", "given" : "Dwyer-Lindgren", "non-dropping-particle" : "", "parse-names" : false, "suffix" : "" }, { "dropping-particle" : "", "family" : "EK", "given" : "Cromley", "non-dropping-particle" : "", "parse-names" : false, "suffix" : "" }, { "dropping-particle" : "", "family" : "BG", "given" : "Link", "non-dropping-particle" : "", "parse-names" : false, "suffix" : "" }, { "dropping-particle" : "", "family" : "ML", "given" : "Hatzenbuehler", "non-dropping-particle" : "", "parse-names" : false, "suffix" : "" }, { "dropping-particle" : "", "family" : "D", "given" : "Acevedo-Garcia", "non-dropping-particle" : "", "parse-names" : false, "suffix" : "" }, { "dropping-particle" : "", "family" : "DR", "given" : "Williams", "non-dropping-particle" : "", "parse-names" : false, "suffix" : "" }, { "dropping-particle" : "", "family" : "CJ", "given" : "Murray", "non-dropping-particle" : "", "parse-names" : false, "suffix" : "" }, { "dropping-particle" : "", "family" : "AS", "given" : "Vaughan", "non-dropping-particle" : "", "parse-names" : false, "suffix" : "" }, { "dropping-particle" : "", "family" : "CR", "given" : "Clark", "non-dropping-particle" : "", "parse-names" : false, "suffix" : "" }, { "dropping-particle" : "", "family" : "FA", "given" : "Masoudi", "non-dropping-particle" : "", "parse-names" : false, "suffix" : "" } ], "container-title" : "JAMA", "id" : "ITEM-1", "issue" : "22", "issued" : { "date-parts" : [ [ "2016", "12", "13" ] ] }, "page" : "2363", "publisher" : "American Medical Association", "title" : "Understanding County-Level, Cause-Specific Mortality", "type" : "article-journal", "volume" : "316" }, "uris" : [ "http://www.mendeley.com/documents/?uuid=23611411-9401-3533-88cd-89be9222b30a" ] } ], "mendeley" : { "formattedCitation" : "&lt;sup&gt;32&lt;/sup&gt;", "plainTextFormattedCitation" : "32", "previouslyFormattedCitation" : "&lt;sup&gt;32&lt;/sup&gt;" }, "properties" : {  }, "schema" : "https://github.com/citation-style-language/schema/raw/master/csl-citation.json" }</w:instrText>
      </w:r>
      <w:r w:rsidR="00D62C72">
        <w:rPr>
          <w:rFonts w:ascii="Times New Roman" w:hAnsi="Times New Roman"/>
        </w:rPr>
        <w:fldChar w:fldCharType="separate"/>
      </w:r>
      <w:r w:rsidR="006B0760" w:rsidRPr="006B0760">
        <w:rPr>
          <w:rFonts w:ascii="Times New Roman" w:hAnsi="Times New Roman"/>
          <w:noProof/>
          <w:vertAlign w:val="superscript"/>
        </w:rPr>
        <w:t>32</w:t>
      </w:r>
      <w:r w:rsidR="00D62C72">
        <w:rPr>
          <w:rFonts w:ascii="Times New Roman" w:hAnsi="Times New Roman"/>
        </w:rPr>
        <w:fldChar w:fldCharType="end"/>
      </w:r>
      <w:r w:rsidR="00DD1B3C">
        <w:rPr>
          <w:rFonts w:ascii="Times New Roman" w:hAnsi="Times New Roman"/>
        </w:rPr>
        <w:t xml:space="preserve"> </w:t>
      </w:r>
      <w:r w:rsidR="00D62C72">
        <w:rPr>
          <w:rFonts w:ascii="Times New Roman" w:hAnsi="Times New Roman"/>
        </w:rPr>
        <w:t xml:space="preserve">Finally, our analysis focuses on supply, whereas future investigations should acquire data on the </w:t>
      </w:r>
      <w:r w:rsidR="005D07F1">
        <w:rPr>
          <w:rFonts w:ascii="Times New Roman" w:hAnsi="Times New Roman"/>
        </w:rPr>
        <w:t xml:space="preserve">quality and comprehensiveness of primary care, or </w:t>
      </w:r>
      <w:r w:rsidR="00D62C72">
        <w:rPr>
          <w:rFonts w:ascii="Times New Roman" w:hAnsi="Times New Roman"/>
        </w:rPr>
        <w:t xml:space="preserve">on </w:t>
      </w:r>
      <w:r w:rsidR="005D07F1">
        <w:rPr>
          <w:rFonts w:ascii="Times New Roman" w:hAnsi="Times New Roman"/>
        </w:rPr>
        <w:t>effective access rather than just density of physicians</w:t>
      </w:r>
      <w:r w:rsidR="00D62C72">
        <w:rPr>
          <w:rFonts w:ascii="Times New Roman" w:hAnsi="Times New Roman"/>
        </w:rPr>
        <w:t>.</w:t>
      </w:r>
    </w:p>
    <w:p w14:paraId="7B327B44" w14:textId="783322BD" w:rsidR="00EB1580" w:rsidRPr="004C2EB7" w:rsidRDefault="00D62C72" w:rsidP="00EB1580">
      <w:pPr>
        <w:spacing w:line="360" w:lineRule="auto"/>
        <w:rPr>
          <w:rFonts w:ascii="Times New Roman" w:hAnsi="Times New Roman"/>
        </w:rPr>
      </w:pPr>
      <w:r>
        <w:rPr>
          <w:rFonts w:ascii="Times New Roman" w:hAnsi="Times New Roman"/>
        </w:rPr>
        <w:tab/>
        <w:t>Nevertheless, our results here suggest that p</w:t>
      </w:r>
      <w:r w:rsidRPr="00C031C0">
        <w:rPr>
          <w:rFonts w:ascii="Times New Roman" w:hAnsi="Times New Roman"/>
        </w:rPr>
        <w:t xml:space="preserve">rimary care physician density </w:t>
      </w:r>
      <w:r>
        <w:rPr>
          <w:rFonts w:ascii="Times New Roman" w:hAnsi="Times New Roman"/>
        </w:rPr>
        <w:t>has decreased in vulnerable areas, and while not</w:t>
      </w:r>
      <w:r w:rsidRPr="00C031C0">
        <w:rPr>
          <w:rFonts w:ascii="Times New Roman" w:hAnsi="Times New Roman"/>
        </w:rPr>
        <w:t xml:space="preserve"> consistently related to overall life expectancy</w:t>
      </w:r>
      <w:r>
        <w:rPr>
          <w:rFonts w:ascii="Times New Roman" w:hAnsi="Times New Roman"/>
        </w:rPr>
        <w:t xml:space="preserve">, </w:t>
      </w:r>
      <w:r>
        <w:rPr>
          <w:rFonts w:ascii="Times New Roman" w:hAnsi="Times New Roman"/>
        </w:rPr>
        <w:t xml:space="preserve">primary care density </w:t>
      </w:r>
      <w:r>
        <w:rPr>
          <w:rFonts w:ascii="Times New Roman" w:hAnsi="Times New Roman"/>
        </w:rPr>
        <w:t>was related to cardiovascular and substance use/injury mortality</w:t>
      </w:r>
      <w:r>
        <w:rPr>
          <w:rFonts w:ascii="Times New Roman" w:hAnsi="Times New Roman"/>
        </w:rPr>
        <w:t xml:space="preserve"> over the period 2005-2015</w:t>
      </w:r>
      <w:r w:rsidRPr="00C031C0">
        <w:rPr>
          <w:rFonts w:ascii="Times New Roman" w:hAnsi="Times New Roman"/>
        </w:rPr>
        <w:t>.</w:t>
      </w:r>
    </w:p>
    <w:p w14:paraId="37E97FCF" w14:textId="77777777" w:rsidR="00EB1580" w:rsidRPr="004C2EB7" w:rsidRDefault="00EB1580" w:rsidP="00EB1580">
      <w:pPr>
        <w:spacing w:line="360" w:lineRule="auto"/>
        <w:rPr>
          <w:rFonts w:ascii="Times New Roman" w:hAnsi="Times New Roman"/>
        </w:rPr>
      </w:pPr>
    </w:p>
    <w:p w14:paraId="13D8F00F" w14:textId="77777777" w:rsidR="00EB1580" w:rsidRPr="004C2EB7" w:rsidRDefault="00EB1580" w:rsidP="00EB1580">
      <w:pPr>
        <w:spacing w:line="360" w:lineRule="auto"/>
        <w:rPr>
          <w:rFonts w:ascii="Times New Roman" w:hAnsi="Times New Roman"/>
        </w:rPr>
      </w:pPr>
    </w:p>
    <w:p w14:paraId="047E2A59" w14:textId="77777777" w:rsidR="00EB1580" w:rsidRPr="004C2EB7" w:rsidRDefault="00EB1580" w:rsidP="00EB1580">
      <w:pPr>
        <w:spacing w:line="360" w:lineRule="auto"/>
        <w:rPr>
          <w:rFonts w:ascii="Times New Roman" w:hAnsi="Times New Roman"/>
          <w:b/>
        </w:rPr>
      </w:pPr>
      <w:r w:rsidRPr="004C2EB7">
        <w:rPr>
          <w:rFonts w:ascii="Times New Roman" w:hAnsi="Times New Roman"/>
        </w:rPr>
        <w:br w:type="column"/>
      </w:r>
      <w:r w:rsidRPr="004C2EB7">
        <w:rPr>
          <w:rFonts w:ascii="Times New Roman" w:hAnsi="Times New Roman"/>
          <w:b/>
        </w:rPr>
        <w:lastRenderedPageBreak/>
        <w:t>References</w:t>
      </w:r>
    </w:p>
    <w:p w14:paraId="1E19EF67" w14:textId="4ACFBAA1" w:rsidR="002308B0" w:rsidRPr="002308B0" w:rsidRDefault="00D85C32" w:rsidP="002308B0">
      <w:pPr>
        <w:widowControl w:val="0"/>
        <w:autoSpaceDE w:val="0"/>
        <w:autoSpaceDN w:val="0"/>
        <w:adjustRightInd w:val="0"/>
        <w:spacing w:line="360" w:lineRule="auto"/>
        <w:ind w:left="640" w:hanging="640"/>
        <w:rPr>
          <w:rFonts w:ascii="Times New Roman" w:hAnsi="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2308B0" w:rsidRPr="002308B0">
        <w:rPr>
          <w:rFonts w:ascii="Times New Roman" w:hAnsi="Times New Roman"/>
          <w:noProof/>
        </w:rPr>
        <w:t xml:space="preserve">1. </w:t>
      </w:r>
      <w:r w:rsidR="002308B0" w:rsidRPr="002308B0">
        <w:rPr>
          <w:rFonts w:ascii="Times New Roman" w:hAnsi="Times New Roman"/>
          <w:noProof/>
        </w:rPr>
        <w:tab/>
        <w:t xml:space="preserve">Bunker JP. The role of medical care in contributing to health improvements within societies. </w:t>
      </w:r>
      <w:r w:rsidR="002308B0" w:rsidRPr="002308B0">
        <w:rPr>
          <w:rFonts w:ascii="Times New Roman" w:hAnsi="Times New Roman"/>
          <w:i/>
          <w:iCs/>
          <w:noProof/>
        </w:rPr>
        <w:t>Int J Epidemiol</w:t>
      </w:r>
      <w:r w:rsidR="002308B0" w:rsidRPr="002308B0">
        <w:rPr>
          <w:rFonts w:ascii="Times New Roman" w:hAnsi="Times New Roman"/>
          <w:noProof/>
        </w:rPr>
        <w:t>. 2001;30(6):1260-1263. doi:10.1093/ije/30.6.1260</w:t>
      </w:r>
    </w:p>
    <w:p w14:paraId="6401F751"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 </w:t>
      </w:r>
      <w:r w:rsidRPr="002308B0">
        <w:rPr>
          <w:rFonts w:ascii="Times New Roman" w:hAnsi="Times New Roman"/>
          <w:noProof/>
        </w:rPr>
        <w:tab/>
        <w:t xml:space="preserve">McKeown T. </w:t>
      </w:r>
      <w:r w:rsidRPr="002308B0">
        <w:rPr>
          <w:rFonts w:ascii="Times New Roman" w:hAnsi="Times New Roman"/>
          <w:i/>
          <w:iCs/>
          <w:noProof/>
        </w:rPr>
        <w:t>The Role of Medicine: Dream, Mirage, or Nemesis?</w:t>
      </w:r>
      <w:r w:rsidRPr="002308B0">
        <w:rPr>
          <w:rFonts w:ascii="Times New Roman" w:hAnsi="Times New Roman"/>
          <w:noProof/>
        </w:rPr>
        <w:t>; 2014. https://books.google.com/books?hl=en&amp;lr=&amp;id=xLr_AwAAQBAJ&amp;oi=fnd&amp;pg=PP1&amp;dq=McKeown+T.+The+Role+of+Medicine:+Dream,+Mirage,+or+Nemesis%3F+London:+Nuffield+Provincial+Hospitals+Trust,+1976.&amp;ots=NugheFJRdl&amp;sig=0AHF_NDFAyeiLEldnUXuhzgzzbY. Accessed March 27, 2018.</w:t>
      </w:r>
    </w:p>
    <w:p w14:paraId="3A79C168"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3. </w:t>
      </w:r>
      <w:r w:rsidRPr="002308B0">
        <w:rPr>
          <w:rFonts w:ascii="Times New Roman" w:hAnsi="Times New Roman"/>
          <w:noProof/>
        </w:rPr>
        <w:tab/>
        <w:t xml:space="preserve">Illich I. </w:t>
      </w:r>
      <w:r w:rsidRPr="002308B0">
        <w:rPr>
          <w:rFonts w:ascii="Times New Roman" w:hAnsi="Times New Roman"/>
          <w:i/>
          <w:iCs/>
          <w:noProof/>
        </w:rPr>
        <w:t>Medical Nemesis : The Expropriation of Health</w:t>
      </w:r>
      <w:r w:rsidRPr="002308B0">
        <w:rPr>
          <w:rFonts w:ascii="Times New Roman" w:hAnsi="Times New Roman"/>
          <w:noProof/>
        </w:rPr>
        <w:t>. London: Pantheon Books; 1975.</w:t>
      </w:r>
    </w:p>
    <w:p w14:paraId="6BFD8A98"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4. </w:t>
      </w:r>
      <w:r w:rsidRPr="002308B0">
        <w:rPr>
          <w:rFonts w:ascii="Times New Roman" w:hAnsi="Times New Roman"/>
          <w:noProof/>
        </w:rPr>
        <w:tab/>
        <w:t xml:space="preserve">Bunker JP. Medicine matters after all. </w:t>
      </w:r>
      <w:r w:rsidRPr="002308B0">
        <w:rPr>
          <w:rFonts w:ascii="Times New Roman" w:hAnsi="Times New Roman"/>
          <w:i/>
          <w:iCs/>
          <w:noProof/>
        </w:rPr>
        <w:t>J R Coll Physicians Lond</w:t>
      </w:r>
      <w:r w:rsidRPr="002308B0">
        <w:rPr>
          <w:rFonts w:ascii="Times New Roman" w:hAnsi="Times New Roman"/>
          <w:noProof/>
        </w:rPr>
        <w:t>. 1995;29(2):105-112. http://www.ncbi.nlm.nih.gov/pubmed/7595883. Accessed March 27, 2018.</w:t>
      </w:r>
    </w:p>
    <w:p w14:paraId="78BAE4EC"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5. </w:t>
      </w:r>
      <w:r w:rsidRPr="002308B0">
        <w:rPr>
          <w:rFonts w:ascii="Times New Roman" w:hAnsi="Times New Roman"/>
          <w:noProof/>
        </w:rPr>
        <w:tab/>
        <w:t xml:space="preserve">Mackenbach J. The contribution of medical care to mortality decline: McKeown revisited. </w:t>
      </w:r>
      <w:r w:rsidRPr="002308B0">
        <w:rPr>
          <w:rFonts w:ascii="Times New Roman" w:hAnsi="Times New Roman"/>
          <w:i/>
          <w:iCs/>
          <w:noProof/>
        </w:rPr>
        <w:t>J Clin Epidemiol</w:t>
      </w:r>
      <w:r w:rsidRPr="002308B0">
        <w:rPr>
          <w:rFonts w:ascii="Times New Roman" w:hAnsi="Times New Roman"/>
          <w:noProof/>
        </w:rPr>
        <w:t>. 1996;49(11):1207-1213. https://repub.eur.nl/pub/53400/1-s2.0-S0895435696002004-main.pdf. Accessed March 27, 2018.</w:t>
      </w:r>
    </w:p>
    <w:p w14:paraId="34ED2DBE"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6. </w:t>
      </w:r>
      <w:r w:rsidRPr="002308B0">
        <w:rPr>
          <w:rFonts w:ascii="Times New Roman" w:hAnsi="Times New Roman"/>
          <w:noProof/>
        </w:rPr>
        <w:tab/>
        <w:t xml:space="preserve">Carr-Hill R, Hardman G, Lancet IR-T, 1987  undefined. Variations in avoidable mortality and variations in health care resources. </w:t>
      </w:r>
      <w:r w:rsidRPr="002308B0">
        <w:rPr>
          <w:rFonts w:ascii="Times New Roman" w:hAnsi="Times New Roman"/>
          <w:i/>
          <w:iCs/>
          <w:noProof/>
        </w:rPr>
        <w:t>Elsevier</w:t>
      </w:r>
      <w:r w:rsidRPr="002308B0">
        <w:rPr>
          <w:rFonts w:ascii="Times New Roman" w:hAnsi="Times New Roman"/>
          <w:noProof/>
        </w:rPr>
        <w:t>. https://www.sciencedirect.com/science/article/pii/S0140673687928108. Accessed March 27, 2018.</w:t>
      </w:r>
    </w:p>
    <w:p w14:paraId="0A009D2E"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7. </w:t>
      </w:r>
      <w:r w:rsidRPr="002308B0">
        <w:rPr>
          <w:rFonts w:ascii="Times New Roman" w:hAnsi="Times New Roman"/>
          <w:noProof/>
        </w:rPr>
        <w:tab/>
        <w:t xml:space="preserve">Macinko J, Starfield B, research LS-H services, 2003  undefined. The contribution of primary care systems to health outcomes within Organization for Economic Cooperation and Development (OECD) countries, 1970–1998. </w:t>
      </w:r>
      <w:r w:rsidRPr="002308B0">
        <w:rPr>
          <w:rFonts w:ascii="Times New Roman" w:hAnsi="Times New Roman"/>
          <w:i/>
          <w:iCs/>
          <w:noProof/>
        </w:rPr>
        <w:t>Wiley Online Libr</w:t>
      </w:r>
      <w:r w:rsidRPr="002308B0">
        <w:rPr>
          <w:rFonts w:ascii="Times New Roman" w:hAnsi="Times New Roman"/>
          <w:noProof/>
        </w:rPr>
        <w:t>. http://onlinelibrary.wiley.com/doi/10.1111/1475-6773.00149/full. Accessed March 19, 2018.</w:t>
      </w:r>
    </w:p>
    <w:p w14:paraId="549AA84E"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8. </w:t>
      </w:r>
      <w:r w:rsidRPr="002308B0">
        <w:rPr>
          <w:rFonts w:ascii="Times New Roman" w:hAnsi="Times New Roman"/>
          <w:noProof/>
        </w:rPr>
        <w:tab/>
        <w:t xml:space="preserve">Shi L, Macinko J, Starfield B, Politzer R, Xu J. Primary care, race, and mortality in US states. </w:t>
      </w:r>
      <w:r w:rsidRPr="002308B0">
        <w:rPr>
          <w:rFonts w:ascii="Times New Roman" w:hAnsi="Times New Roman"/>
          <w:i/>
          <w:iCs/>
          <w:noProof/>
        </w:rPr>
        <w:t>Soc Sci Med</w:t>
      </w:r>
      <w:r w:rsidRPr="002308B0">
        <w:rPr>
          <w:rFonts w:ascii="Times New Roman" w:hAnsi="Times New Roman"/>
          <w:noProof/>
        </w:rPr>
        <w:t>. 2005;61(1):65-75. doi:10.1016/J.SOCSCIMED.2004.11.056</w:t>
      </w:r>
    </w:p>
    <w:p w14:paraId="4C3793D3"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9. </w:t>
      </w:r>
      <w:r w:rsidRPr="002308B0">
        <w:rPr>
          <w:rFonts w:ascii="Times New Roman" w:hAnsi="Times New Roman"/>
          <w:noProof/>
        </w:rPr>
        <w:tab/>
        <w:t xml:space="preserve">Shi L, Macinko J, Starfield B, Wulu J, Regan J, Politzer R. The relationship between primary care, income inequality, and mortality in US States, 1980-1995. </w:t>
      </w:r>
      <w:r w:rsidRPr="002308B0">
        <w:rPr>
          <w:rFonts w:ascii="Times New Roman" w:hAnsi="Times New Roman"/>
          <w:i/>
          <w:iCs/>
          <w:noProof/>
        </w:rPr>
        <w:t>J Am Board Fam Pract</w:t>
      </w:r>
      <w:r w:rsidRPr="002308B0">
        <w:rPr>
          <w:rFonts w:ascii="Times New Roman" w:hAnsi="Times New Roman"/>
          <w:noProof/>
        </w:rPr>
        <w:t xml:space="preserve">. 16(5):412-422. </w:t>
      </w:r>
      <w:r w:rsidRPr="002308B0">
        <w:rPr>
          <w:rFonts w:ascii="Times New Roman" w:hAnsi="Times New Roman"/>
          <w:noProof/>
        </w:rPr>
        <w:lastRenderedPageBreak/>
        <w:t>http://www.ncbi.nlm.nih.gov/pubmed/14645332. Accessed March 29, 2018.</w:t>
      </w:r>
    </w:p>
    <w:p w14:paraId="0B2ED72E"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10. </w:t>
      </w:r>
      <w:r w:rsidRPr="002308B0">
        <w:rPr>
          <w:rFonts w:ascii="Times New Roman" w:hAnsi="Times New Roman"/>
          <w:noProof/>
        </w:rPr>
        <w:tab/>
        <w:t xml:space="preserve">Shi L, Macinko J, Starfield B, Xu J, Politzer R. Primary Care, Income Inequality, and Stroke Mortality in the United States: A Longitudinal Analysis, 1985-1995. </w:t>
      </w:r>
      <w:r w:rsidRPr="002308B0">
        <w:rPr>
          <w:rFonts w:ascii="Times New Roman" w:hAnsi="Times New Roman"/>
          <w:i/>
          <w:iCs/>
          <w:noProof/>
        </w:rPr>
        <w:t>Stroke</w:t>
      </w:r>
      <w:r w:rsidRPr="002308B0">
        <w:rPr>
          <w:rFonts w:ascii="Times New Roman" w:hAnsi="Times New Roman"/>
          <w:noProof/>
        </w:rPr>
        <w:t>. 2003;34(8):1958-1964. doi:10.1161/01.STR.0000082380.80444.A9</w:t>
      </w:r>
    </w:p>
    <w:p w14:paraId="1F01A4CE"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11. </w:t>
      </w:r>
      <w:r w:rsidRPr="002308B0">
        <w:rPr>
          <w:rFonts w:ascii="Times New Roman" w:hAnsi="Times New Roman"/>
          <w:noProof/>
        </w:rPr>
        <w:tab/>
        <w:t xml:space="preserve">Shi L, Macinko J, Starfield B, et al. Primary care, infant mortality, and low birth weight in the states of the USA. </w:t>
      </w:r>
      <w:r w:rsidRPr="002308B0">
        <w:rPr>
          <w:rFonts w:ascii="Times New Roman" w:hAnsi="Times New Roman"/>
          <w:i/>
          <w:iCs/>
          <w:noProof/>
        </w:rPr>
        <w:t>J Epidemiol Community Health</w:t>
      </w:r>
      <w:r w:rsidRPr="002308B0">
        <w:rPr>
          <w:rFonts w:ascii="Times New Roman" w:hAnsi="Times New Roman"/>
          <w:noProof/>
        </w:rPr>
        <w:t>. 2004;58(5):374. doi:10.1136/JECH.2003.013078</w:t>
      </w:r>
    </w:p>
    <w:p w14:paraId="1D1C22F1"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12. </w:t>
      </w:r>
      <w:r w:rsidRPr="002308B0">
        <w:rPr>
          <w:rFonts w:ascii="Times New Roman" w:hAnsi="Times New Roman"/>
          <w:noProof/>
        </w:rPr>
        <w:tab/>
        <w:t xml:space="preserve">Shi L, Starfield B. The effect of primary care physician supply and income inequality on mortality among blacks and whites in US metropolitan areas. </w:t>
      </w:r>
      <w:r w:rsidRPr="002308B0">
        <w:rPr>
          <w:rFonts w:ascii="Times New Roman" w:hAnsi="Times New Roman"/>
          <w:i/>
          <w:iCs/>
          <w:noProof/>
        </w:rPr>
        <w:t>Am J Public Health</w:t>
      </w:r>
      <w:r w:rsidRPr="002308B0">
        <w:rPr>
          <w:rFonts w:ascii="Times New Roman" w:hAnsi="Times New Roman"/>
          <w:noProof/>
        </w:rPr>
        <w:t>. 2001;91(8):1246-1250. http://www.ncbi.nlm.nih.gov/pubmed/11499112. Accessed March 29, 2018.</w:t>
      </w:r>
    </w:p>
    <w:p w14:paraId="5B75428D"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13. </w:t>
      </w:r>
      <w:r w:rsidRPr="002308B0">
        <w:rPr>
          <w:rFonts w:ascii="Times New Roman" w:hAnsi="Times New Roman"/>
          <w:noProof/>
        </w:rPr>
        <w:tab/>
        <w:t xml:space="preserve">Case A, Deaton A. Rising morbidity and mortality in midlife among white non-Hispanic Americans in the 21st century. </w:t>
      </w:r>
      <w:r w:rsidRPr="002308B0">
        <w:rPr>
          <w:rFonts w:ascii="Times New Roman" w:hAnsi="Times New Roman"/>
          <w:i/>
          <w:iCs/>
          <w:noProof/>
        </w:rPr>
        <w:t>Proc Natl Acad Sci U S A</w:t>
      </w:r>
      <w:r w:rsidRPr="002308B0">
        <w:rPr>
          <w:rFonts w:ascii="Times New Roman" w:hAnsi="Times New Roman"/>
          <w:noProof/>
        </w:rPr>
        <w:t>. 2015;112(49):15078-15083. doi:10.1073/pnas.1518393112</w:t>
      </w:r>
    </w:p>
    <w:p w14:paraId="3C87149B"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14. </w:t>
      </w:r>
      <w:r w:rsidRPr="002308B0">
        <w:rPr>
          <w:rFonts w:ascii="Times New Roman" w:hAnsi="Times New Roman"/>
          <w:noProof/>
        </w:rPr>
        <w:tab/>
        <w:t xml:space="preserve">Chetty R, Stepner M, Abraham S, et al. The association between income and life expectancy in the United States, 2001-2014. </w:t>
      </w:r>
      <w:r w:rsidRPr="002308B0">
        <w:rPr>
          <w:rFonts w:ascii="Times New Roman" w:hAnsi="Times New Roman"/>
          <w:i/>
          <w:iCs/>
          <w:noProof/>
        </w:rPr>
        <w:t>JAMA - J Am Med Assoc</w:t>
      </w:r>
      <w:r w:rsidRPr="002308B0">
        <w:rPr>
          <w:rFonts w:ascii="Times New Roman" w:hAnsi="Times New Roman"/>
          <w:noProof/>
        </w:rPr>
        <w:t>. 2016;315(16):1750-1766. doi:10.1001/jama.2016.4226</w:t>
      </w:r>
    </w:p>
    <w:p w14:paraId="252E620A"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15. </w:t>
      </w:r>
      <w:r w:rsidRPr="002308B0">
        <w:rPr>
          <w:rFonts w:ascii="Times New Roman" w:hAnsi="Times New Roman"/>
          <w:noProof/>
        </w:rPr>
        <w:tab/>
        <w:t xml:space="preserve">Dwyer-Lindgren L, Bertozzi-Villa A, Stubbs RW, et al. Trends and Patterns of Geographic Variation in Mortality From Substance Use Disorders and Intentional Injuries Among US Counties, 1980-2014. </w:t>
      </w:r>
      <w:r w:rsidRPr="002308B0">
        <w:rPr>
          <w:rFonts w:ascii="Times New Roman" w:hAnsi="Times New Roman"/>
          <w:i/>
          <w:iCs/>
          <w:noProof/>
        </w:rPr>
        <w:t>Jama</w:t>
      </w:r>
      <w:r w:rsidRPr="002308B0">
        <w:rPr>
          <w:rFonts w:ascii="Times New Roman" w:hAnsi="Times New Roman"/>
          <w:noProof/>
        </w:rPr>
        <w:t>. 2018;319(10):1013. doi:10.1001/jama.2018.0900</w:t>
      </w:r>
    </w:p>
    <w:p w14:paraId="7F73EA67"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16. </w:t>
      </w:r>
      <w:r w:rsidRPr="002308B0">
        <w:rPr>
          <w:rFonts w:ascii="Times New Roman" w:hAnsi="Times New Roman"/>
          <w:noProof/>
        </w:rPr>
        <w:tab/>
        <w:t xml:space="preserve">Song Z, Rose S, Safran DG, Landon BE, Day MP, Chernew ME. Changes in Health Care Spending and Quality 4 Years into Global Payment. </w:t>
      </w:r>
      <w:r w:rsidRPr="002308B0">
        <w:rPr>
          <w:rFonts w:ascii="Times New Roman" w:hAnsi="Times New Roman"/>
          <w:i/>
          <w:iCs/>
          <w:noProof/>
        </w:rPr>
        <w:t>N Engl J Med</w:t>
      </w:r>
      <w:r w:rsidRPr="002308B0">
        <w:rPr>
          <w:rFonts w:ascii="Times New Roman" w:hAnsi="Times New Roman"/>
          <w:noProof/>
        </w:rPr>
        <w:t>. 2014;371(18):1704-1714. doi:10.1056/NEJMsa1404026</w:t>
      </w:r>
    </w:p>
    <w:p w14:paraId="1CF46A48"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17. </w:t>
      </w:r>
      <w:r w:rsidRPr="002308B0">
        <w:rPr>
          <w:rFonts w:ascii="Times New Roman" w:hAnsi="Times New Roman"/>
          <w:noProof/>
        </w:rPr>
        <w:tab/>
        <w:t xml:space="preserve">McWilliams JM, Landon BE, Chernew ME. Changes in Health Care Spending and Quality for Medicare Beneficiaries Associated with a Commercial ACO Contract. </w:t>
      </w:r>
      <w:r w:rsidRPr="002308B0">
        <w:rPr>
          <w:rFonts w:ascii="Times New Roman" w:hAnsi="Times New Roman"/>
          <w:i/>
          <w:iCs/>
          <w:noProof/>
        </w:rPr>
        <w:t>JAMA</w:t>
      </w:r>
      <w:r w:rsidRPr="002308B0">
        <w:rPr>
          <w:rFonts w:ascii="Times New Roman" w:hAnsi="Times New Roman"/>
          <w:noProof/>
        </w:rPr>
        <w:t>. 2013;310(8). doi:10.1001/jama.2013.276302</w:t>
      </w:r>
    </w:p>
    <w:p w14:paraId="679DFF2E"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18. </w:t>
      </w:r>
      <w:r w:rsidRPr="002308B0">
        <w:rPr>
          <w:rFonts w:ascii="Times New Roman" w:hAnsi="Times New Roman"/>
          <w:noProof/>
        </w:rPr>
        <w:tab/>
        <w:t xml:space="preserve">Schwartz AL, Chernew ME, Landon BE, McWilliams JM. Changes in Low-Value Services in Year 1 of the Medicare Pioneer Accountable Care Organization Program. </w:t>
      </w:r>
      <w:r w:rsidRPr="002308B0">
        <w:rPr>
          <w:rFonts w:ascii="Times New Roman" w:hAnsi="Times New Roman"/>
          <w:i/>
          <w:iCs/>
          <w:noProof/>
        </w:rPr>
        <w:t>JAMA Intern Med</w:t>
      </w:r>
      <w:r w:rsidRPr="002308B0">
        <w:rPr>
          <w:rFonts w:ascii="Times New Roman" w:hAnsi="Times New Roman"/>
          <w:noProof/>
        </w:rPr>
        <w:t>. 2015;2115(11):1. doi:10.1001/jamainternmed.2015.4525</w:t>
      </w:r>
    </w:p>
    <w:p w14:paraId="33537C4D"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lastRenderedPageBreak/>
        <w:t xml:space="preserve">19. </w:t>
      </w:r>
      <w:r w:rsidRPr="002308B0">
        <w:rPr>
          <w:rFonts w:ascii="Times New Roman" w:hAnsi="Times New Roman"/>
          <w:noProof/>
        </w:rPr>
        <w:tab/>
        <w:t xml:space="preserve">McWilliams JM, Hatfield LA, Chernew ME, Landon BE, Schwartz AL. Early Performance of Accountable Care Organizations in Medicare. </w:t>
      </w:r>
      <w:r w:rsidRPr="002308B0">
        <w:rPr>
          <w:rFonts w:ascii="Times New Roman" w:hAnsi="Times New Roman"/>
          <w:i/>
          <w:iCs/>
          <w:noProof/>
        </w:rPr>
        <w:t>N Engl J Med</w:t>
      </w:r>
      <w:r w:rsidRPr="002308B0">
        <w:rPr>
          <w:rFonts w:ascii="Times New Roman" w:hAnsi="Times New Roman"/>
          <w:noProof/>
        </w:rPr>
        <w:t>. April 2016:NEJMsa1600142. doi:10.1056/NEJMsa1600142</w:t>
      </w:r>
    </w:p>
    <w:p w14:paraId="24D461BA"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20. </w:t>
      </w:r>
      <w:r w:rsidRPr="002308B0">
        <w:rPr>
          <w:rFonts w:ascii="Times New Roman" w:hAnsi="Times New Roman"/>
          <w:noProof/>
        </w:rPr>
        <w:tab/>
        <w:t xml:space="preserve">Song Z, Landon BE. Controlling Health Care Spending — The Massachusetts Experiment. </w:t>
      </w:r>
      <w:r w:rsidRPr="002308B0">
        <w:rPr>
          <w:rFonts w:ascii="Times New Roman" w:hAnsi="Times New Roman"/>
          <w:i/>
          <w:iCs/>
          <w:noProof/>
        </w:rPr>
        <w:t>N Engl J Med</w:t>
      </w:r>
      <w:r w:rsidRPr="002308B0">
        <w:rPr>
          <w:rFonts w:ascii="Times New Roman" w:hAnsi="Times New Roman"/>
          <w:noProof/>
        </w:rPr>
        <w:t>. 2012;366(17):1560-1561. doi:10.1056/NEJMp1201261</w:t>
      </w:r>
    </w:p>
    <w:p w14:paraId="02B5E88D"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21. </w:t>
      </w:r>
      <w:r w:rsidRPr="002308B0">
        <w:rPr>
          <w:rFonts w:ascii="Times New Roman" w:hAnsi="Times New Roman"/>
          <w:noProof/>
        </w:rPr>
        <w:tab/>
        <w:t xml:space="preserve">Dale SB, Ghosh A, Peikes DN, et al. Two-Year Costs and Quality in the Comprehensive Primary Care Initiative. </w:t>
      </w:r>
      <w:r w:rsidRPr="002308B0">
        <w:rPr>
          <w:rFonts w:ascii="Times New Roman" w:hAnsi="Times New Roman"/>
          <w:i/>
          <w:iCs/>
          <w:noProof/>
        </w:rPr>
        <w:t>N Engl J Med</w:t>
      </w:r>
      <w:r w:rsidRPr="002308B0">
        <w:rPr>
          <w:rFonts w:ascii="Times New Roman" w:hAnsi="Times New Roman"/>
          <w:noProof/>
        </w:rPr>
        <w:t>. 2016;374(24):2345-2356. doi:10.1056/NEJMsa1414953</w:t>
      </w:r>
    </w:p>
    <w:p w14:paraId="17A723BF"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22. </w:t>
      </w:r>
      <w:r w:rsidRPr="002308B0">
        <w:rPr>
          <w:rFonts w:ascii="Times New Roman" w:hAnsi="Times New Roman"/>
          <w:noProof/>
        </w:rPr>
        <w:tab/>
        <w:t xml:space="preserve">Kaufman A. Theory vs Practice: Should Primary Care Practice Take on Social Determinants of Health Now? Yes. </w:t>
      </w:r>
      <w:r w:rsidRPr="002308B0">
        <w:rPr>
          <w:rFonts w:ascii="Times New Roman" w:hAnsi="Times New Roman"/>
          <w:i/>
          <w:iCs/>
          <w:noProof/>
        </w:rPr>
        <w:t>Ann Fam Med</w:t>
      </w:r>
      <w:r w:rsidRPr="002308B0">
        <w:rPr>
          <w:rFonts w:ascii="Times New Roman" w:hAnsi="Times New Roman"/>
          <w:noProof/>
        </w:rPr>
        <w:t>. 2016;14(2):100-101. doi:10.1370/afm.1915</w:t>
      </w:r>
    </w:p>
    <w:p w14:paraId="0213048D"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23. </w:t>
      </w:r>
      <w:r w:rsidRPr="002308B0">
        <w:rPr>
          <w:rFonts w:ascii="Times New Roman" w:hAnsi="Times New Roman"/>
          <w:noProof/>
        </w:rPr>
        <w:tab/>
        <w:t xml:space="preserve">Bärnighausen T, Bloom DE. Financial incentives for return of service in underserved areas: a systematic review. </w:t>
      </w:r>
      <w:r w:rsidRPr="002308B0">
        <w:rPr>
          <w:rFonts w:ascii="Times New Roman" w:hAnsi="Times New Roman"/>
          <w:i/>
          <w:iCs/>
          <w:noProof/>
        </w:rPr>
        <w:t>BMC Health Serv Res</w:t>
      </w:r>
      <w:r w:rsidRPr="002308B0">
        <w:rPr>
          <w:rFonts w:ascii="Times New Roman" w:hAnsi="Times New Roman"/>
          <w:noProof/>
        </w:rPr>
        <w:t>. 2009;9(1):86. doi:10.1186/1472-6963-9-86</w:t>
      </w:r>
    </w:p>
    <w:p w14:paraId="2EA23525"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24. </w:t>
      </w:r>
      <w:r w:rsidRPr="002308B0">
        <w:rPr>
          <w:rFonts w:ascii="Times New Roman" w:hAnsi="Times New Roman"/>
          <w:noProof/>
        </w:rPr>
        <w:tab/>
        <w:t xml:space="preserve">Berkowitz SA, Hulberg AC, Standish S, Reznor G, Atlas SJ. Addressing Unmet Basic Resource Needs as Part of Chronic Cardiometabolic Disease Management. </w:t>
      </w:r>
      <w:r w:rsidRPr="002308B0">
        <w:rPr>
          <w:rFonts w:ascii="Times New Roman" w:hAnsi="Times New Roman"/>
          <w:i/>
          <w:iCs/>
          <w:noProof/>
        </w:rPr>
        <w:t>JAMA Intern Med</w:t>
      </w:r>
      <w:r w:rsidRPr="002308B0">
        <w:rPr>
          <w:rFonts w:ascii="Times New Roman" w:hAnsi="Times New Roman"/>
          <w:noProof/>
        </w:rPr>
        <w:t>. 2017;177(2):244. doi:10.1001/jamainternmed.2016.7691</w:t>
      </w:r>
    </w:p>
    <w:p w14:paraId="1FDD8E75"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25. </w:t>
      </w:r>
      <w:r w:rsidRPr="002308B0">
        <w:rPr>
          <w:rFonts w:ascii="Times New Roman" w:hAnsi="Times New Roman"/>
          <w:noProof/>
        </w:rPr>
        <w:tab/>
        <w:t xml:space="preserve">Starfield B, Shi L, Macinko J. Contribution of primary care to health systems and health. </w:t>
      </w:r>
      <w:r w:rsidRPr="002308B0">
        <w:rPr>
          <w:rFonts w:ascii="Times New Roman" w:hAnsi="Times New Roman"/>
          <w:i/>
          <w:iCs/>
          <w:noProof/>
        </w:rPr>
        <w:t>Milbank Q</w:t>
      </w:r>
      <w:r w:rsidRPr="002308B0">
        <w:rPr>
          <w:rFonts w:ascii="Times New Roman" w:hAnsi="Times New Roman"/>
          <w:noProof/>
        </w:rPr>
        <w:t>. 2005;83(3):457-502. doi:10.1111/j.1468-0009.2005.00409.x</w:t>
      </w:r>
    </w:p>
    <w:p w14:paraId="11AEE9F6"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26. </w:t>
      </w:r>
      <w:r w:rsidRPr="002308B0">
        <w:rPr>
          <w:rFonts w:ascii="Times New Roman" w:hAnsi="Times New Roman"/>
          <w:noProof/>
        </w:rPr>
        <w:tab/>
        <w:t>CDC/National Center for Health Statistics. Urban Rural Classification Scheme for Counties. U.S. Department of Health and Human Services. https://www.cdc.gov/nchs/data_access/urban_rural.htm. Published 2017. Accessed April 2, 2018.</w:t>
      </w:r>
    </w:p>
    <w:p w14:paraId="7E523278"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27. </w:t>
      </w:r>
      <w:r w:rsidRPr="002308B0">
        <w:rPr>
          <w:rFonts w:ascii="Times New Roman" w:hAnsi="Times New Roman"/>
          <w:noProof/>
        </w:rPr>
        <w:tab/>
        <w:t>Health Resources and Services Administration. Area Health Resource Files. U.S. Department of Health and Human Services. https://datawarehouse.hrsa.gov/topics/ahrf.aspx. Published 2017. Accessed April 2, 2018.</w:t>
      </w:r>
    </w:p>
    <w:p w14:paraId="326716F6"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28. </w:t>
      </w:r>
      <w:r w:rsidRPr="002308B0">
        <w:rPr>
          <w:rFonts w:ascii="Times New Roman" w:hAnsi="Times New Roman"/>
          <w:noProof/>
        </w:rPr>
        <w:tab/>
        <w:t>Bureau of Labor Statistics. Databases, Tables and Calculators by Subject. U.S. Bureau of Labor Statistics. https://data.bls.gov/timeseries/LNS14000000. Published 2018. Accessed April 2, 2018.</w:t>
      </w:r>
    </w:p>
    <w:p w14:paraId="37E8AE77"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lastRenderedPageBreak/>
        <w:t xml:space="preserve">29. </w:t>
      </w:r>
      <w:r w:rsidRPr="002308B0">
        <w:rPr>
          <w:rFonts w:ascii="Times New Roman" w:hAnsi="Times New Roman"/>
          <w:noProof/>
        </w:rPr>
        <w:tab/>
        <w:t>American Medical Association. Physician Masterfile. American Medical Association. https://www.ama-assn.org/life-career/ama-physician-masterfile. Published 2016. Accessed April 2, 2018.</w:t>
      </w:r>
    </w:p>
    <w:p w14:paraId="7479CF90"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30. </w:t>
      </w:r>
      <w:r w:rsidRPr="002308B0">
        <w:rPr>
          <w:rFonts w:ascii="Times New Roman" w:hAnsi="Times New Roman"/>
          <w:noProof/>
        </w:rPr>
        <w:tab/>
        <w:t xml:space="preserve">Wichers C. The detection of multicollinearity. </w:t>
      </w:r>
      <w:r w:rsidRPr="002308B0">
        <w:rPr>
          <w:rFonts w:ascii="Times New Roman" w:hAnsi="Times New Roman"/>
          <w:i/>
          <w:iCs/>
          <w:noProof/>
        </w:rPr>
        <w:t>Rev Econ Stat</w:t>
      </w:r>
      <w:r w:rsidRPr="002308B0">
        <w:rPr>
          <w:rFonts w:ascii="Times New Roman" w:hAnsi="Times New Roman"/>
          <w:noProof/>
        </w:rPr>
        <w:t>. 1975;57(3):366-368. http://www.jstor.org/stable/1923926. Accessed April 2, 2018.</w:t>
      </w:r>
    </w:p>
    <w:p w14:paraId="001CBA55"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31. </w:t>
      </w:r>
      <w:r w:rsidRPr="002308B0">
        <w:rPr>
          <w:rFonts w:ascii="Times New Roman" w:hAnsi="Times New Roman"/>
          <w:noProof/>
        </w:rPr>
        <w:tab/>
        <w:t xml:space="preserve">Giuntella O. The Hispanic health paradox: New evidence from longitudinal data on second and third-generation birth outcomes. </w:t>
      </w:r>
      <w:r w:rsidRPr="002308B0">
        <w:rPr>
          <w:rFonts w:ascii="Times New Roman" w:hAnsi="Times New Roman"/>
          <w:i/>
          <w:iCs/>
          <w:noProof/>
        </w:rPr>
        <w:t>SSM - Popul Heal</w:t>
      </w:r>
      <w:r w:rsidRPr="002308B0">
        <w:rPr>
          <w:rFonts w:ascii="Times New Roman" w:hAnsi="Times New Roman"/>
          <w:noProof/>
        </w:rPr>
        <w:t>. 2016;2:84-89. doi:10.1016/J.SSMPH.2016.02.013</w:t>
      </w:r>
    </w:p>
    <w:p w14:paraId="6924FB76" w14:textId="77777777" w:rsidR="002308B0" w:rsidRPr="002308B0" w:rsidRDefault="002308B0" w:rsidP="002308B0">
      <w:pPr>
        <w:widowControl w:val="0"/>
        <w:autoSpaceDE w:val="0"/>
        <w:autoSpaceDN w:val="0"/>
        <w:adjustRightInd w:val="0"/>
        <w:spacing w:line="360" w:lineRule="auto"/>
        <w:ind w:left="640" w:hanging="640"/>
        <w:rPr>
          <w:rFonts w:ascii="Times New Roman" w:hAnsi="Times New Roman"/>
          <w:noProof/>
        </w:rPr>
      </w:pPr>
      <w:r w:rsidRPr="002308B0">
        <w:rPr>
          <w:rFonts w:ascii="Times New Roman" w:hAnsi="Times New Roman"/>
          <w:noProof/>
        </w:rPr>
        <w:t xml:space="preserve">32. </w:t>
      </w:r>
      <w:r w:rsidRPr="002308B0">
        <w:rPr>
          <w:rFonts w:ascii="Times New Roman" w:hAnsi="Times New Roman"/>
          <w:noProof/>
        </w:rPr>
        <w:tab/>
        <w:t xml:space="preserve">Clark CR, Williams DR, L D-L, et al. Understanding County-Level, Cause-Specific Mortality. </w:t>
      </w:r>
      <w:r w:rsidRPr="002308B0">
        <w:rPr>
          <w:rFonts w:ascii="Times New Roman" w:hAnsi="Times New Roman"/>
          <w:i/>
          <w:iCs/>
          <w:noProof/>
        </w:rPr>
        <w:t>JAMA</w:t>
      </w:r>
      <w:r w:rsidRPr="002308B0">
        <w:rPr>
          <w:rFonts w:ascii="Times New Roman" w:hAnsi="Times New Roman"/>
          <w:noProof/>
        </w:rPr>
        <w:t>. 2016;316(22):2363. doi:10.1001/jama.2016.12818</w:t>
      </w:r>
    </w:p>
    <w:p w14:paraId="772B42F7" w14:textId="10D0687C" w:rsidR="00EB1580" w:rsidRDefault="00D85C32" w:rsidP="002308B0">
      <w:pPr>
        <w:widowControl w:val="0"/>
        <w:autoSpaceDE w:val="0"/>
        <w:autoSpaceDN w:val="0"/>
        <w:adjustRightInd w:val="0"/>
        <w:spacing w:line="360" w:lineRule="auto"/>
        <w:ind w:left="640" w:hanging="640"/>
        <w:rPr>
          <w:rFonts w:ascii="Times New Roman" w:hAnsi="Times New Roman"/>
        </w:rPr>
      </w:pPr>
      <w:r>
        <w:rPr>
          <w:rFonts w:ascii="Times New Roman" w:hAnsi="Times New Roman"/>
        </w:rPr>
        <w:fldChar w:fldCharType="end"/>
      </w:r>
    </w:p>
    <w:p w14:paraId="28DF3FDB" w14:textId="77777777" w:rsidR="00B31958" w:rsidRPr="004C2EB7" w:rsidRDefault="00B31958" w:rsidP="00EB1580">
      <w:pPr>
        <w:spacing w:line="360" w:lineRule="auto"/>
        <w:rPr>
          <w:rFonts w:ascii="Times New Roman" w:hAnsi="Times New Roman"/>
        </w:rPr>
      </w:pPr>
    </w:p>
    <w:p w14:paraId="51B4E521" w14:textId="77777777" w:rsidR="00EB1580" w:rsidRPr="004C2EB7" w:rsidRDefault="00EB1580" w:rsidP="00EB1580">
      <w:pPr>
        <w:spacing w:line="360" w:lineRule="auto"/>
        <w:rPr>
          <w:rFonts w:ascii="Times New Roman" w:hAnsi="Times New Roman"/>
          <w:b/>
        </w:rPr>
      </w:pPr>
      <w:r w:rsidRPr="004C2EB7">
        <w:rPr>
          <w:rFonts w:ascii="Times New Roman" w:hAnsi="Times New Roman"/>
          <w:b/>
        </w:rPr>
        <w:br w:type="column"/>
      </w:r>
      <w:r w:rsidRPr="004C2EB7">
        <w:rPr>
          <w:rFonts w:ascii="Times New Roman" w:hAnsi="Times New Roman"/>
          <w:b/>
        </w:rPr>
        <w:lastRenderedPageBreak/>
        <w:t>Tables and Figures</w:t>
      </w:r>
    </w:p>
    <w:p w14:paraId="23C7164E" w14:textId="77777777" w:rsidR="00EB1580" w:rsidRPr="004C2EB7" w:rsidRDefault="00EB1580" w:rsidP="00EB1580">
      <w:pPr>
        <w:spacing w:line="360" w:lineRule="auto"/>
        <w:rPr>
          <w:rFonts w:ascii="Times New Roman" w:hAnsi="Times New Roman"/>
        </w:rPr>
      </w:pPr>
    </w:p>
    <w:p w14:paraId="27AF76B8" w14:textId="562FF7C9" w:rsidR="00EB1580" w:rsidRDefault="00EB1580" w:rsidP="00EB1580">
      <w:pPr>
        <w:spacing w:line="360" w:lineRule="auto"/>
        <w:rPr>
          <w:rFonts w:ascii="Times New Roman" w:hAnsi="Times New Roman"/>
        </w:rPr>
      </w:pPr>
      <w:r w:rsidRPr="004C2EB7">
        <w:rPr>
          <w:rFonts w:ascii="Times New Roman" w:hAnsi="Times New Roman"/>
          <w:u w:val="single"/>
        </w:rPr>
        <w:t>Table 1:</w:t>
      </w:r>
      <w:r w:rsidRPr="004C2EB7">
        <w:rPr>
          <w:rFonts w:ascii="Times New Roman" w:hAnsi="Times New Roman"/>
        </w:rPr>
        <w:t xml:space="preserve"> </w:t>
      </w:r>
      <w:r w:rsidR="00BB2653">
        <w:rPr>
          <w:rFonts w:ascii="Times New Roman" w:hAnsi="Times New Roman"/>
        </w:rPr>
        <w:t>Characteristics of the study sample</w:t>
      </w:r>
      <w:r w:rsidR="00407C34">
        <w:rPr>
          <w:rFonts w:ascii="Times New Roman" w:hAnsi="Times New Roman"/>
        </w:rPr>
        <w:t xml:space="preserve"> (N=3,142 U.S. counties)</w:t>
      </w:r>
      <w:r w:rsidR="00BB2653">
        <w:rPr>
          <w:rFonts w:ascii="Times New Roman" w:hAnsi="Times New Roman"/>
        </w:rPr>
        <w:t>, 2005-2015</w:t>
      </w:r>
      <w:r w:rsidR="00A8275A">
        <w:rPr>
          <w:rFonts w:ascii="Times New Roman" w:hAnsi="Times New Roman"/>
        </w:rPr>
        <w:t>.</w:t>
      </w:r>
      <w:r w:rsidR="00D63988">
        <w:rPr>
          <w:rFonts w:ascii="Times New Roman" w:hAnsi="Times New Roman"/>
        </w:rPr>
        <w:t xml:space="preserve"> </w:t>
      </w:r>
    </w:p>
    <w:tbl>
      <w:tblPr>
        <w:tblStyle w:val="TableGrid"/>
        <w:tblW w:w="0" w:type="auto"/>
        <w:tblLook w:val="04A0" w:firstRow="1" w:lastRow="0" w:firstColumn="1" w:lastColumn="0" w:noHBand="0" w:noVBand="1"/>
      </w:tblPr>
      <w:tblGrid>
        <w:gridCol w:w="3875"/>
        <w:gridCol w:w="1307"/>
        <w:gridCol w:w="1307"/>
        <w:gridCol w:w="2141"/>
      </w:tblGrid>
      <w:tr w:rsidR="00903496" w:rsidRPr="004E67E3" w14:paraId="34BECD41" w14:textId="77777777" w:rsidTr="008B1A4F">
        <w:tc>
          <w:tcPr>
            <w:tcW w:w="0" w:type="auto"/>
          </w:tcPr>
          <w:p w14:paraId="2A408B90" w14:textId="77777777" w:rsidR="004E67E3" w:rsidRPr="008B1A4F" w:rsidRDefault="004E67E3" w:rsidP="00231854">
            <w:pPr>
              <w:spacing w:line="360" w:lineRule="auto"/>
              <w:rPr>
                <w:rFonts w:ascii="Arial" w:hAnsi="Arial" w:cs="Arial"/>
                <w:b/>
                <w:sz w:val="20"/>
                <w:szCs w:val="20"/>
              </w:rPr>
            </w:pPr>
            <w:r w:rsidRPr="008B1A4F">
              <w:rPr>
                <w:rFonts w:ascii="Arial" w:hAnsi="Arial" w:cs="Arial"/>
                <w:b/>
                <w:sz w:val="20"/>
                <w:szCs w:val="20"/>
              </w:rPr>
              <w:t>Characteristic</w:t>
            </w:r>
          </w:p>
        </w:tc>
        <w:tc>
          <w:tcPr>
            <w:tcW w:w="0" w:type="auto"/>
          </w:tcPr>
          <w:p w14:paraId="0936EA28" w14:textId="02860930" w:rsidR="004E67E3" w:rsidRPr="008B1A4F" w:rsidRDefault="00051199" w:rsidP="00231854">
            <w:pPr>
              <w:spacing w:line="360" w:lineRule="auto"/>
              <w:rPr>
                <w:rFonts w:ascii="Arial" w:hAnsi="Arial" w:cs="Arial"/>
                <w:b/>
                <w:sz w:val="20"/>
                <w:szCs w:val="20"/>
              </w:rPr>
            </w:pPr>
            <w:r w:rsidRPr="008B1A4F">
              <w:rPr>
                <w:rFonts w:ascii="Arial" w:hAnsi="Arial" w:cs="Arial"/>
                <w:b/>
                <w:sz w:val="20"/>
                <w:szCs w:val="20"/>
              </w:rPr>
              <w:t>Value in 2005</w:t>
            </w:r>
          </w:p>
        </w:tc>
        <w:tc>
          <w:tcPr>
            <w:tcW w:w="0" w:type="auto"/>
          </w:tcPr>
          <w:p w14:paraId="1AC1C804" w14:textId="68066815" w:rsidR="004E67E3" w:rsidRPr="008B1A4F" w:rsidRDefault="00051199" w:rsidP="00231854">
            <w:pPr>
              <w:spacing w:line="360" w:lineRule="auto"/>
              <w:rPr>
                <w:rFonts w:ascii="Arial" w:hAnsi="Arial" w:cs="Arial"/>
                <w:b/>
                <w:sz w:val="20"/>
                <w:szCs w:val="20"/>
              </w:rPr>
            </w:pPr>
            <w:r w:rsidRPr="008B1A4F">
              <w:rPr>
                <w:rFonts w:ascii="Arial" w:hAnsi="Arial" w:cs="Arial"/>
                <w:b/>
                <w:sz w:val="20"/>
                <w:szCs w:val="20"/>
              </w:rPr>
              <w:t>Value in 2015</w:t>
            </w:r>
          </w:p>
        </w:tc>
        <w:tc>
          <w:tcPr>
            <w:tcW w:w="0" w:type="auto"/>
          </w:tcPr>
          <w:p w14:paraId="1722FFDF" w14:textId="6E0860E9" w:rsidR="004E67E3" w:rsidRPr="008B1A4F" w:rsidRDefault="004E67E3" w:rsidP="00231854">
            <w:pPr>
              <w:spacing w:line="360" w:lineRule="auto"/>
              <w:rPr>
                <w:rFonts w:ascii="Arial" w:hAnsi="Arial" w:cs="Arial"/>
                <w:b/>
                <w:sz w:val="20"/>
                <w:szCs w:val="20"/>
              </w:rPr>
            </w:pPr>
            <w:r w:rsidRPr="008B1A4F">
              <w:rPr>
                <w:rFonts w:ascii="Arial" w:hAnsi="Arial" w:cs="Arial"/>
                <w:b/>
                <w:sz w:val="20"/>
                <w:szCs w:val="20"/>
              </w:rPr>
              <w:t>Within-county change, 2005 to 2015</w:t>
            </w:r>
            <w:r w:rsidR="005F1D8A" w:rsidRPr="008B1A4F">
              <w:rPr>
                <w:rFonts w:ascii="Arial" w:hAnsi="Arial" w:cs="Arial"/>
                <w:b/>
                <w:sz w:val="20"/>
                <w:szCs w:val="20"/>
              </w:rPr>
              <w:t xml:space="preserve"> </w:t>
            </w:r>
          </w:p>
        </w:tc>
      </w:tr>
      <w:tr w:rsidR="00903496" w:rsidRPr="004E67E3" w14:paraId="79A977BD" w14:textId="77777777" w:rsidTr="008B1A4F">
        <w:tc>
          <w:tcPr>
            <w:tcW w:w="0" w:type="auto"/>
          </w:tcPr>
          <w:p w14:paraId="0B40F1BA" w14:textId="1F116B45" w:rsidR="004E67E3" w:rsidRPr="008B1A4F" w:rsidRDefault="009E6100" w:rsidP="00231854">
            <w:pPr>
              <w:spacing w:line="360" w:lineRule="auto"/>
              <w:rPr>
                <w:rFonts w:ascii="Arial" w:hAnsi="Arial" w:cs="Arial"/>
                <w:sz w:val="20"/>
                <w:szCs w:val="20"/>
              </w:rPr>
            </w:pPr>
            <w:r w:rsidRPr="008B1A4F">
              <w:rPr>
                <w:rFonts w:ascii="Arial" w:hAnsi="Arial" w:cs="Arial"/>
                <w:sz w:val="20"/>
                <w:szCs w:val="20"/>
              </w:rPr>
              <w:t>Primary care physician</w:t>
            </w:r>
            <w:r w:rsidR="0041671F" w:rsidRPr="008B1A4F">
              <w:rPr>
                <w:rFonts w:ascii="Arial" w:hAnsi="Arial" w:cs="Arial"/>
                <w:sz w:val="20"/>
                <w:szCs w:val="20"/>
              </w:rPr>
              <w:t>s per 10,000 population</w:t>
            </w:r>
            <w:r w:rsidR="00051199" w:rsidRPr="008B1A4F">
              <w:rPr>
                <w:rFonts w:ascii="Arial" w:hAnsi="Arial" w:cs="Arial"/>
                <w:sz w:val="20"/>
                <w:szCs w:val="20"/>
              </w:rPr>
              <w:t>, mean (SD)</w:t>
            </w:r>
          </w:p>
        </w:tc>
        <w:tc>
          <w:tcPr>
            <w:tcW w:w="0" w:type="auto"/>
          </w:tcPr>
          <w:p w14:paraId="558612B5" w14:textId="469544B8" w:rsidR="004E67E3" w:rsidRPr="008B1A4F" w:rsidRDefault="00A05C7F" w:rsidP="00231854">
            <w:pPr>
              <w:spacing w:line="360" w:lineRule="auto"/>
              <w:rPr>
                <w:rFonts w:ascii="Arial" w:hAnsi="Arial" w:cs="Arial"/>
                <w:sz w:val="20"/>
                <w:szCs w:val="20"/>
              </w:rPr>
            </w:pPr>
            <w:r w:rsidRPr="008B1A4F">
              <w:rPr>
                <w:rFonts w:ascii="Arial" w:hAnsi="Arial" w:cs="Arial"/>
                <w:sz w:val="20"/>
                <w:szCs w:val="20"/>
              </w:rPr>
              <w:t>4.1 (2.8)</w:t>
            </w:r>
          </w:p>
        </w:tc>
        <w:tc>
          <w:tcPr>
            <w:tcW w:w="0" w:type="auto"/>
          </w:tcPr>
          <w:p w14:paraId="1388950E" w14:textId="28A3960A" w:rsidR="004E67E3" w:rsidRPr="008B1A4F" w:rsidRDefault="00901A64" w:rsidP="00231854">
            <w:pPr>
              <w:spacing w:line="360" w:lineRule="auto"/>
              <w:rPr>
                <w:rFonts w:ascii="Arial" w:hAnsi="Arial" w:cs="Arial"/>
                <w:sz w:val="20"/>
                <w:szCs w:val="20"/>
              </w:rPr>
            </w:pPr>
            <w:r w:rsidRPr="008B1A4F">
              <w:rPr>
                <w:rFonts w:ascii="Arial" w:hAnsi="Arial" w:cs="Arial"/>
                <w:sz w:val="20"/>
                <w:szCs w:val="20"/>
              </w:rPr>
              <w:t>3.6 (2.6)</w:t>
            </w:r>
          </w:p>
        </w:tc>
        <w:tc>
          <w:tcPr>
            <w:tcW w:w="0" w:type="auto"/>
          </w:tcPr>
          <w:p w14:paraId="79CAF1C1" w14:textId="223A9E95" w:rsidR="004E67E3" w:rsidRPr="008B1A4F" w:rsidRDefault="00032E67" w:rsidP="00231854">
            <w:pPr>
              <w:spacing w:line="360" w:lineRule="auto"/>
              <w:rPr>
                <w:rFonts w:ascii="Arial" w:hAnsi="Arial" w:cs="Arial"/>
                <w:sz w:val="20"/>
                <w:szCs w:val="20"/>
              </w:rPr>
            </w:pPr>
            <w:r>
              <w:rPr>
                <w:rFonts w:ascii="Arial" w:hAnsi="Arial" w:cs="Arial"/>
                <w:sz w:val="20"/>
                <w:szCs w:val="20"/>
              </w:rPr>
              <w:t>-0.5 (</w:t>
            </w:r>
            <w:r w:rsidR="00734970">
              <w:rPr>
                <w:rFonts w:ascii="Arial" w:hAnsi="Arial" w:cs="Arial"/>
                <w:sz w:val="20"/>
                <w:szCs w:val="20"/>
              </w:rPr>
              <w:t>2.0)</w:t>
            </w:r>
          </w:p>
        </w:tc>
      </w:tr>
      <w:tr w:rsidR="00903496" w:rsidRPr="004E67E3" w14:paraId="0CE8DA7A" w14:textId="77777777" w:rsidTr="008B1A4F">
        <w:tc>
          <w:tcPr>
            <w:tcW w:w="0" w:type="auto"/>
          </w:tcPr>
          <w:p w14:paraId="5AE5687A" w14:textId="79B4C21B" w:rsidR="00901A64" w:rsidRPr="008B1A4F" w:rsidRDefault="00786AB4" w:rsidP="00231854">
            <w:pPr>
              <w:spacing w:line="360" w:lineRule="auto"/>
              <w:rPr>
                <w:rFonts w:ascii="Arial" w:hAnsi="Arial" w:cs="Arial"/>
                <w:sz w:val="20"/>
                <w:szCs w:val="20"/>
              </w:rPr>
            </w:pPr>
            <w:r w:rsidRPr="008B1A4F">
              <w:rPr>
                <w:rFonts w:ascii="Arial" w:hAnsi="Arial" w:cs="Arial"/>
                <w:sz w:val="20"/>
                <w:szCs w:val="20"/>
              </w:rPr>
              <w:t xml:space="preserve">Non-metro </w:t>
            </w:r>
            <w:r w:rsidR="00BA4124" w:rsidRPr="008B1A4F">
              <w:rPr>
                <w:rFonts w:ascii="Arial" w:hAnsi="Arial" w:cs="Arial"/>
                <w:sz w:val="20"/>
                <w:szCs w:val="20"/>
              </w:rPr>
              <w:t>area, %</w:t>
            </w:r>
            <w:r w:rsidR="00BF58B3" w:rsidRPr="008B1A4F">
              <w:rPr>
                <w:rFonts w:ascii="Arial" w:hAnsi="Arial" w:cs="Arial"/>
                <w:sz w:val="20"/>
                <w:szCs w:val="20"/>
              </w:rPr>
              <w:t xml:space="preserve"> (SD)</w:t>
            </w:r>
          </w:p>
        </w:tc>
        <w:tc>
          <w:tcPr>
            <w:tcW w:w="0" w:type="auto"/>
          </w:tcPr>
          <w:p w14:paraId="2DE5F194" w14:textId="5D3F6083" w:rsidR="00901A64" w:rsidRPr="008B1A4F" w:rsidRDefault="00A17923" w:rsidP="00231854">
            <w:pPr>
              <w:spacing w:line="360" w:lineRule="auto"/>
              <w:rPr>
                <w:rFonts w:ascii="Arial" w:hAnsi="Arial" w:cs="Arial"/>
                <w:sz w:val="20"/>
                <w:szCs w:val="20"/>
              </w:rPr>
            </w:pPr>
            <w:r>
              <w:rPr>
                <w:rFonts w:ascii="Arial" w:hAnsi="Arial" w:cs="Arial"/>
                <w:sz w:val="20"/>
                <w:szCs w:val="20"/>
              </w:rPr>
              <w:t>20.6 (</w:t>
            </w:r>
            <w:r w:rsidR="00162489">
              <w:rPr>
                <w:rFonts w:ascii="Arial" w:hAnsi="Arial" w:cs="Arial"/>
                <w:sz w:val="20"/>
                <w:szCs w:val="20"/>
              </w:rPr>
              <w:t>0.7)</w:t>
            </w:r>
          </w:p>
        </w:tc>
        <w:tc>
          <w:tcPr>
            <w:tcW w:w="0" w:type="auto"/>
          </w:tcPr>
          <w:p w14:paraId="69718BC3" w14:textId="56E92DCB" w:rsidR="00901A64" w:rsidRPr="008B1A4F" w:rsidRDefault="00A17923" w:rsidP="00231854">
            <w:pPr>
              <w:spacing w:line="360" w:lineRule="auto"/>
              <w:rPr>
                <w:rFonts w:ascii="Arial" w:hAnsi="Arial" w:cs="Arial"/>
                <w:sz w:val="20"/>
                <w:szCs w:val="20"/>
              </w:rPr>
            </w:pPr>
            <w:r>
              <w:rPr>
                <w:rFonts w:ascii="Arial" w:hAnsi="Arial" w:cs="Arial"/>
                <w:sz w:val="20"/>
                <w:szCs w:val="20"/>
              </w:rPr>
              <w:t>18.9 (</w:t>
            </w:r>
            <w:r w:rsidR="00202E2E">
              <w:rPr>
                <w:rFonts w:ascii="Arial" w:hAnsi="Arial" w:cs="Arial"/>
                <w:sz w:val="20"/>
                <w:szCs w:val="20"/>
              </w:rPr>
              <w:t>0.7)</w:t>
            </w:r>
          </w:p>
        </w:tc>
        <w:tc>
          <w:tcPr>
            <w:tcW w:w="0" w:type="auto"/>
          </w:tcPr>
          <w:p w14:paraId="440B9F3E" w14:textId="790B9257" w:rsidR="00901A64" w:rsidRPr="008B1A4F" w:rsidRDefault="00923C3A" w:rsidP="00231854">
            <w:pPr>
              <w:spacing w:line="360" w:lineRule="auto"/>
              <w:rPr>
                <w:rFonts w:ascii="Arial" w:hAnsi="Arial" w:cs="Arial"/>
                <w:sz w:val="20"/>
                <w:szCs w:val="20"/>
              </w:rPr>
            </w:pPr>
            <w:r>
              <w:rPr>
                <w:rFonts w:ascii="Arial" w:hAnsi="Arial" w:cs="Arial"/>
                <w:sz w:val="20"/>
                <w:szCs w:val="20"/>
              </w:rPr>
              <w:t>-0.1 (0.1)</w:t>
            </w:r>
          </w:p>
        </w:tc>
      </w:tr>
      <w:tr w:rsidR="00903496" w:rsidRPr="004E67E3" w14:paraId="35DF1CC1" w14:textId="77777777" w:rsidTr="008B1A4F">
        <w:tc>
          <w:tcPr>
            <w:tcW w:w="0" w:type="auto"/>
          </w:tcPr>
          <w:p w14:paraId="3097E858" w14:textId="24C0D53D" w:rsidR="00051199" w:rsidRPr="008B1A4F" w:rsidRDefault="008B369C" w:rsidP="00231854">
            <w:pPr>
              <w:spacing w:line="360" w:lineRule="auto"/>
              <w:rPr>
                <w:rFonts w:ascii="Arial" w:hAnsi="Arial" w:cs="Arial"/>
                <w:sz w:val="20"/>
                <w:szCs w:val="20"/>
              </w:rPr>
            </w:pPr>
            <w:r w:rsidRPr="008B1A4F">
              <w:rPr>
                <w:rFonts w:ascii="Arial" w:hAnsi="Arial" w:cs="Arial"/>
                <w:sz w:val="20"/>
                <w:szCs w:val="20"/>
              </w:rPr>
              <w:t xml:space="preserve">Population </w:t>
            </w:r>
            <w:r w:rsidR="000B3268">
              <w:rPr>
                <w:rFonts w:ascii="Arial" w:hAnsi="Arial" w:cs="Arial"/>
                <w:sz w:val="20"/>
                <w:szCs w:val="20"/>
              </w:rPr>
              <w:t>in</w:t>
            </w:r>
            <w:r w:rsidR="00DA453F" w:rsidRPr="008B1A4F">
              <w:rPr>
                <w:rFonts w:ascii="Arial" w:hAnsi="Arial" w:cs="Arial"/>
                <w:sz w:val="20"/>
                <w:szCs w:val="20"/>
              </w:rPr>
              <w:t xml:space="preserve"> poverty, %</w:t>
            </w:r>
            <w:r w:rsidR="00BF58B3" w:rsidRPr="008B1A4F">
              <w:rPr>
                <w:rFonts w:ascii="Arial" w:hAnsi="Arial" w:cs="Arial"/>
                <w:sz w:val="20"/>
                <w:szCs w:val="20"/>
              </w:rPr>
              <w:t xml:space="preserve"> (SD)</w:t>
            </w:r>
          </w:p>
        </w:tc>
        <w:tc>
          <w:tcPr>
            <w:tcW w:w="0" w:type="auto"/>
          </w:tcPr>
          <w:p w14:paraId="4EB93449" w14:textId="194550FB" w:rsidR="00051199" w:rsidRPr="008B1A4F" w:rsidRDefault="00DA453F" w:rsidP="00231854">
            <w:pPr>
              <w:spacing w:line="360" w:lineRule="auto"/>
              <w:rPr>
                <w:rFonts w:ascii="Arial" w:hAnsi="Arial" w:cs="Arial"/>
                <w:sz w:val="20"/>
                <w:szCs w:val="20"/>
              </w:rPr>
            </w:pPr>
            <w:r w:rsidRPr="008B1A4F">
              <w:rPr>
                <w:rFonts w:ascii="Arial" w:hAnsi="Arial" w:cs="Arial"/>
                <w:sz w:val="20"/>
                <w:szCs w:val="20"/>
              </w:rPr>
              <w:t xml:space="preserve">15.3 </w:t>
            </w:r>
            <w:r w:rsidR="00BF58B3" w:rsidRPr="008B1A4F">
              <w:rPr>
                <w:rFonts w:ascii="Arial" w:hAnsi="Arial" w:cs="Arial"/>
                <w:sz w:val="20"/>
                <w:szCs w:val="20"/>
              </w:rPr>
              <w:t>(6.5)</w:t>
            </w:r>
          </w:p>
        </w:tc>
        <w:tc>
          <w:tcPr>
            <w:tcW w:w="0" w:type="auto"/>
          </w:tcPr>
          <w:p w14:paraId="3217B6D4" w14:textId="444ED9F3" w:rsidR="00051199" w:rsidRPr="008B1A4F" w:rsidRDefault="00DA453F" w:rsidP="00231854">
            <w:pPr>
              <w:spacing w:line="360" w:lineRule="auto"/>
              <w:rPr>
                <w:rFonts w:ascii="Arial" w:hAnsi="Arial" w:cs="Arial"/>
                <w:sz w:val="20"/>
                <w:szCs w:val="20"/>
              </w:rPr>
            </w:pPr>
            <w:r w:rsidRPr="008B1A4F">
              <w:rPr>
                <w:rFonts w:ascii="Arial" w:hAnsi="Arial" w:cs="Arial"/>
                <w:sz w:val="20"/>
                <w:szCs w:val="20"/>
              </w:rPr>
              <w:t xml:space="preserve">16.3 </w:t>
            </w:r>
            <w:r w:rsidR="00BF58B3" w:rsidRPr="008B1A4F">
              <w:rPr>
                <w:rFonts w:ascii="Arial" w:hAnsi="Arial" w:cs="Arial"/>
                <w:sz w:val="20"/>
                <w:szCs w:val="20"/>
              </w:rPr>
              <w:t>(6.5)</w:t>
            </w:r>
          </w:p>
        </w:tc>
        <w:tc>
          <w:tcPr>
            <w:tcW w:w="0" w:type="auto"/>
          </w:tcPr>
          <w:p w14:paraId="52CDA27B" w14:textId="1897576D" w:rsidR="00051199" w:rsidRPr="008B1A4F" w:rsidRDefault="001D6540" w:rsidP="00231854">
            <w:pPr>
              <w:spacing w:line="360" w:lineRule="auto"/>
              <w:rPr>
                <w:rFonts w:ascii="Arial" w:hAnsi="Arial" w:cs="Arial"/>
                <w:sz w:val="20"/>
                <w:szCs w:val="20"/>
              </w:rPr>
            </w:pPr>
            <w:r>
              <w:rPr>
                <w:rFonts w:ascii="Arial" w:hAnsi="Arial" w:cs="Arial"/>
                <w:sz w:val="20"/>
                <w:szCs w:val="20"/>
              </w:rPr>
              <w:t>1.0 (2.4)</w:t>
            </w:r>
          </w:p>
        </w:tc>
      </w:tr>
      <w:tr w:rsidR="00903496" w:rsidRPr="004E67E3" w14:paraId="048C7BAD" w14:textId="77777777" w:rsidTr="008B1A4F">
        <w:tc>
          <w:tcPr>
            <w:tcW w:w="0" w:type="auto"/>
          </w:tcPr>
          <w:p w14:paraId="078A2173" w14:textId="2F04A304" w:rsidR="00F64FD7" w:rsidRPr="008B1A4F" w:rsidRDefault="00F64FD7" w:rsidP="00231854">
            <w:pPr>
              <w:spacing w:line="360" w:lineRule="auto"/>
              <w:rPr>
                <w:rFonts w:ascii="Arial" w:hAnsi="Arial" w:cs="Arial"/>
                <w:sz w:val="20"/>
                <w:szCs w:val="20"/>
              </w:rPr>
            </w:pPr>
            <w:r>
              <w:rPr>
                <w:rFonts w:ascii="Arial" w:hAnsi="Arial" w:cs="Arial"/>
                <w:sz w:val="20"/>
                <w:szCs w:val="20"/>
              </w:rPr>
              <w:t>Median household income</w:t>
            </w:r>
            <w:r w:rsidR="005E33AE">
              <w:rPr>
                <w:rFonts w:ascii="Arial" w:hAnsi="Arial" w:cs="Arial"/>
                <w:sz w:val="20"/>
                <w:szCs w:val="20"/>
              </w:rPr>
              <w:t xml:space="preserve">, $US 2015 </w:t>
            </w:r>
            <w:r>
              <w:rPr>
                <w:rFonts w:ascii="Arial" w:hAnsi="Arial" w:cs="Arial"/>
                <w:sz w:val="20"/>
                <w:szCs w:val="20"/>
              </w:rPr>
              <w:t>(SD)</w:t>
            </w:r>
          </w:p>
        </w:tc>
        <w:tc>
          <w:tcPr>
            <w:tcW w:w="0" w:type="auto"/>
          </w:tcPr>
          <w:p w14:paraId="5931EA4E" w14:textId="2CD8CE81" w:rsidR="00F64FD7" w:rsidRPr="008B1A4F" w:rsidRDefault="005E33AE" w:rsidP="00231854">
            <w:pPr>
              <w:spacing w:line="360" w:lineRule="auto"/>
              <w:rPr>
                <w:rFonts w:ascii="Arial" w:hAnsi="Arial" w:cs="Arial"/>
                <w:sz w:val="20"/>
                <w:szCs w:val="20"/>
              </w:rPr>
            </w:pPr>
            <w:r>
              <w:rPr>
                <w:rFonts w:ascii="Arial" w:hAnsi="Arial" w:cs="Arial"/>
                <w:sz w:val="20"/>
                <w:szCs w:val="20"/>
              </w:rPr>
              <w:t>$54,038 (13,917)</w:t>
            </w:r>
          </w:p>
        </w:tc>
        <w:tc>
          <w:tcPr>
            <w:tcW w:w="0" w:type="auto"/>
          </w:tcPr>
          <w:p w14:paraId="6AF68EA5" w14:textId="40279702" w:rsidR="00F64FD7" w:rsidRPr="008B1A4F" w:rsidRDefault="005E33AE" w:rsidP="00231854">
            <w:pPr>
              <w:spacing w:line="360" w:lineRule="auto"/>
              <w:rPr>
                <w:rFonts w:ascii="Arial" w:hAnsi="Arial" w:cs="Arial"/>
                <w:sz w:val="20"/>
                <w:szCs w:val="20"/>
              </w:rPr>
            </w:pPr>
            <w:r>
              <w:rPr>
                <w:rFonts w:ascii="Arial" w:hAnsi="Arial" w:cs="Arial"/>
                <w:sz w:val="20"/>
                <w:szCs w:val="20"/>
              </w:rPr>
              <w:t>$48,600 (12,255)</w:t>
            </w:r>
          </w:p>
        </w:tc>
        <w:tc>
          <w:tcPr>
            <w:tcW w:w="0" w:type="auto"/>
          </w:tcPr>
          <w:p w14:paraId="0FCB47C1" w14:textId="7528CD08" w:rsidR="00F64FD7" w:rsidRDefault="00F77A0C" w:rsidP="00231854">
            <w:pPr>
              <w:spacing w:line="360" w:lineRule="auto"/>
              <w:rPr>
                <w:rFonts w:ascii="Arial" w:hAnsi="Arial" w:cs="Arial"/>
                <w:sz w:val="20"/>
                <w:szCs w:val="20"/>
              </w:rPr>
            </w:pPr>
            <w:r>
              <w:rPr>
                <w:rFonts w:ascii="Arial" w:hAnsi="Arial" w:cs="Arial"/>
                <w:sz w:val="20"/>
                <w:szCs w:val="20"/>
              </w:rPr>
              <w:t>-$5,448 (5,386)</w:t>
            </w:r>
          </w:p>
        </w:tc>
      </w:tr>
      <w:tr w:rsidR="00903496" w:rsidRPr="004E67E3" w14:paraId="68FA744D" w14:textId="77777777" w:rsidTr="008B1A4F">
        <w:tc>
          <w:tcPr>
            <w:tcW w:w="0" w:type="auto"/>
          </w:tcPr>
          <w:p w14:paraId="4DF36350" w14:textId="6F86AC96" w:rsidR="00F46850" w:rsidRPr="00347A8F" w:rsidRDefault="00F46850" w:rsidP="00231854">
            <w:pPr>
              <w:spacing w:line="360" w:lineRule="auto"/>
              <w:rPr>
                <w:rFonts w:ascii="Arial" w:hAnsi="Arial" w:cs="Arial"/>
                <w:sz w:val="20"/>
                <w:szCs w:val="20"/>
              </w:rPr>
            </w:pPr>
            <w:r w:rsidRPr="00347A8F">
              <w:rPr>
                <w:rFonts w:ascii="Arial" w:hAnsi="Arial" w:cs="Arial"/>
                <w:sz w:val="20"/>
                <w:szCs w:val="20"/>
              </w:rPr>
              <w:t xml:space="preserve">Population with </w:t>
            </w:r>
            <w:r w:rsidR="00AB7EB4" w:rsidRPr="00347A8F">
              <w:rPr>
                <w:rFonts w:ascii="Arial" w:hAnsi="Arial" w:cs="Arial"/>
                <w:sz w:val="20"/>
                <w:szCs w:val="20"/>
              </w:rPr>
              <w:t>less than</w:t>
            </w:r>
            <w:r w:rsidRPr="00347A8F">
              <w:rPr>
                <w:rFonts w:ascii="Arial" w:hAnsi="Arial" w:cs="Arial"/>
                <w:sz w:val="20"/>
                <w:szCs w:val="20"/>
              </w:rPr>
              <w:t xml:space="preserve"> high school education, % (SD)</w:t>
            </w:r>
          </w:p>
        </w:tc>
        <w:tc>
          <w:tcPr>
            <w:tcW w:w="0" w:type="auto"/>
          </w:tcPr>
          <w:p w14:paraId="0D35DDDD" w14:textId="3473205E" w:rsidR="00F46850" w:rsidRPr="00347A8F" w:rsidRDefault="00F46850" w:rsidP="00231854">
            <w:pPr>
              <w:spacing w:line="360" w:lineRule="auto"/>
              <w:rPr>
                <w:rFonts w:ascii="Arial" w:hAnsi="Arial" w:cs="Arial"/>
                <w:sz w:val="20"/>
                <w:szCs w:val="20"/>
              </w:rPr>
            </w:pPr>
            <w:r w:rsidRPr="00347A8F">
              <w:rPr>
                <w:rFonts w:ascii="Arial" w:hAnsi="Arial" w:cs="Arial"/>
                <w:sz w:val="20"/>
                <w:szCs w:val="20"/>
              </w:rPr>
              <w:t>17.8 (8.2)</w:t>
            </w:r>
          </w:p>
        </w:tc>
        <w:tc>
          <w:tcPr>
            <w:tcW w:w="0" w:type="auto"/>
          </w:tcPr>
          <w:p w14:paraId="668D2D0B" w14:textId="3B602770" w:rsidR="00F46850" w:rsidRPr="00347A8F" w:rsidRDefault="00F46850" w:rsidP="00231854">
            <w:pPr>
              <w:spacing w:line="360" w:lineRule="auto"/>
              <w:rPr>
                <w:rFonts w:ascii="Arial" w:hAnsi="Arial" w:cs="Arial"/>
                <w:sz w:val="20"/>
                <w:szCs w:val="20"/>
              </w:rPr>
            </w:pPr>
            <w:r w:rsidRPr="00347A8F">
              <w:rPr>
                <w:rFonts w:ascii="Arial" w:hAnsi="Arial" w:cs="Arial"/>
                <w:sz w:val="20"/>
                <w:szCs w:val="20"/>
              </w:rPr>
              <w:t>13.0 (7.1)</w:t>
            </w:r>
          </w:p>
        </w:tc>
        <w:tc>
          <w:tcPr>
            <w:tcW w:w="0" w:type="auto"/>
          </w:tcPr>
          <w:p w14:paraId="5105DCF5" w14:textId="571A0F46" w:rsidR="00F46850" w:rsidRPr="00347A8F" w:rsidRDefault="00F46850" w:rsidP="00231854">
            <w:pPr>
              <w:spacing w:line="360" w:lineRule="auto"/>
              <w:rPr>
                <w:rFonts w:ascii="Arial" w:hAnsi="Arial" w:cs="Arial"/>
                <w:sz w:val="20"/>
                <w:szCs w:val="20"/>
              </w:rPr>
            </w:pPr>
            <w:r w:rsidRPr="00347A8F">
              <w:rPr>
                <w:rFonts w:ascii="Arial" w:hAnsi="Arial" w:cs="Arial"/>
                <w:sz w:val="20"/>
                <w:szCs w:val="20"/>
              </w:rPr>
              <w:t>-0.6 (0.7)</w:t>
            </w:r>
          </w:p>
        </w:tc>
      </w:tr>
      <w:tr w:rsidR="00903496" w:rsidRPr="004E67E3" w14:paraId="4CB3F060" w14:textId="77777777" w:rsidTr="008B1A4F">
        <w:tc>
          <w:tcPr>
            <w:tcW w:w="0" w:type="auto"/>
          </w:tcPr>
          <w:p w14:paraId="3C4315A8" w14:textId="52F92FC2" w:rsidR="009F6C5D" w:rsidRPr="008B1A4F" w:rsidRDefault="00E5497B" w:rsidP="00231854">
            <w:pPr>
              <w:spacing w:line="360" w:lineRule="auto"/>
              <w:rPr>
                <w:rFonts w:ascii="Arial" w:hAnsi="Arial" w:cs="Arial"/>
                <w:sz w:val="20"/>
                <w:szCs w:val="20"/>
              </w:rPr>
            </w:pPr>
            <w:r w:rsidRPr="008B1A4F">
              <w:rPr>
                <w:rFonts w:ascii="Arial" w:hAnsi="Arial" w:cs="Arial"/>
                <w:sz w:val="20"/>
                <w:szCs w:val="20"/>
              </w:rPr>
              <w:t>Population 65 years or older, % (SD)</w:t>
            </w:r>
          </w:p>
        </w:tc>
        <w:tc>
          <w:tcPr>
            <w:tcW w:w="0" w:type="auto"/>
          </w:tcPr>
          <w:p w14:paraId="74A29822" w14:textId="22A27A4E" w:rsidR="009F6C5D" w:rsidRPr="008B1A4F" w:rsidRDefault="005E6AA5" w:rsidP="00231854">
            <w:pPr>
              <w:spacing w:line="360" w:lineRule="auto"/>
              <w:rPr>
                <w:rFonts w:ascii="Arial" w:hAnsi="Arial" w:cs="Arial"/>
                <w:sz w:val="20"/>
                <w:szCs w:val="20"/>
              </w:rPr>
            </w:pPr>
            <w:r w:rsidRPr="008B1A4F">
              <w:rPr>
                <w:rFonts w:ascii="Arial" w:hAnsi="Arial" w:cs="Arial"/>
                <w:sz w:val="20"/>
                <w:szCs w:val="20"/>
              </w:rPr>
              <w:t>14.8 (4.1)</w:t>
            </w:r>
          </w:p>
        </w:tc>
        <w:tc>
          <w:tcPr>
            <w:tcW w:w="0" w:type="auto"/>
          </w:tcPr>
          <w:p w14:paraId="1CB342D8" w14:textId="489AC93A" w:rsidR="009F6C5D" w:rsidRPr="008B1A4F" w:rsidRDefault="005E6AA5" w:rsidP="00231854">
            <w:pPr>
              <w:spacing w:line="360" w:lineRule="auto"/>
              <w:rPr>
                <w:rFonts w:ascii="Arial" w:hAnsi="Arial" w:cs="Arial"/>
                <w:sz w:val="20"/>
                <w:szCs w:val="20"/>
              </w:rPr>
            </w:pPr>
            <w:r w:rsidRPr="008B1A4F">
              <w:rPr>
                <w:rFonts w:ascii="Arial" w:hAnsi="Arial" w:cs="Arial"/>
                <w:sz w:val="20"/>
                <w:szCs w:val="20"/>
              </w:rPr>
              <w:t>18.0 (4.5)</w:t>
            </w:r>
          </w:p>
        </w:tc>
        <w:tc>
          <w:tcPr>
            <w:tcW w:w="0" w:type="auto"/>
          </w:tcPr>
          <w:p w14:paraId="241820ED" w14:textId="18902070" w:rsidR="009F6C5D" w:rsidRPr="008B1A4F" w:rsidRDefault="00601090" w:rsidP="00231854">
            <w:pPr>
              <w:spacing w:line="360" w:lineRule="auto"/>
              <w:rPr>
                <w:rFonts w:ascii="Arial" w:hAnsi="Arial" w:cs="Arial"/>
                <w:sz w:val="20"/>
                <w:szCs w:val="20"/>
              </w:rPr>
            </w:pPr>
            <w:r>
              <w:rPr>
                <w:rFonts w:ascii="Arial" w:hAnsi="Arial" w:cs="Arial"/>
                <w:sz w:val="20"/>
                <w:szCs w:val="20"/>
              </w:rPr>
              <w:t>3.2 (2.4)</w:t>
            </w:r>
          </w:p>
        </w:tc>
      </w:tr>
      <w:tr w:rsidR="00903496" w:rsidRPr="004E67E3" w14:paraId="6927AD64" w14:textId="77777777" w:rsidTr="008B1A4F">
        <w:tc>
          <w:tcPr>
            <w:tcW w:w="0" w:type="auto"/>
          </w:tcPr>
          <w:p w14:paraId="26E1AD33" w14:textId="5B45178B" w:rsidR="005E6AA5" w:rsidRPr="008B1A4F" w:rsidRDefault="004C52C0" w:rsidP="00231854">
            <w:pPr>
              <w:spacing w:line="360" w:lineRule="auto"/>
              <w:rPr>
                <w:rFonts w:ascii="Arial" w:hAnsi="Arial" w:cs="Arial"/>
                <w:sz w:val="20"/>
                <w:szCs w:val="20"/>
              </w:rPr>
            </w:pPr>
            <w:r>
              <w:rPr>
                <w:rFonts w:ascii="Arial" w:hAnsi="Arial" w:cs="Arial"/>
                <w:sz w:val="20"/>
                <w:szCs w:val="20"/>
              </w:rPr>
              <w:t>Population Black, % (SD)</w:t>
            </w:r>
          </w:p>
        </w:tc>
        <w:tc>
          <w:tcPr>
            <w:tcW w:w="0" w:type="auto"/>
          </w:tcPr>
          <w:p w14:paraId="3ABE563E" w14:textId="2052E5F8" w:rsidR="005E6AA5" w:rsidRPr="008B1A4F" w:rsidRDefault="008516FF" w:rsidP="00231854">
            <w:pPr>
              <w:spacing w:line="360" w:lineRule="auto"/>
              <w:rPr>
                <w:rFonts w:ascii="Arial" w:hAnsi="Arial" w:cs="Arial"/>
                <w:sz w:val="20"/>
                <w:szCs w:val="20"/>
              </w:rPr>
            </w:pPr>
            <w:r>
              <w:rPr>
                <w:rFonts w:ascii="Arial" w:hAnsi="Arial" w:cs="Arial"/>
                <w:sz w:val="20"/>
                <w:szCs w:val="20"/>
              </w:rPr>
              <w:t>9.0 (14.6)</w:t>
            </w:r>
          </w:p>
        </w:tc>
        <w:tc>
          <w:tcPr>
            <w:tcW w:w="0" w:type="auto"/>
          </w:tcPr>
          <w:p w14:paraId="32FF64C3" w14:textId="2C92D445" w:rsidR="005E6AA5" w:rsidRPr="008B1A4F" w:rsidRDefault="008516FF" w:rsidP="00231854">
            <w:pPr>
              <w:spacing w:line="360" w:lineRule="auto"/>
              <w:rPr>
                <w:rFonts w:ascii="Arial" w:hAnsi="Arial" w:cs="Arial"/>
                <w:sz w:val="20"/>
                <w:szCs w:val="20"/>
              </w:rPr>
            </w:pPr>
            <w:r>
              <w:rPr>
                <w:rFonts w:ascii="Arial" w:hAnsi="Arial" w:cs="Arial"/>
                <w:sz w:val="20"/>
                <w:szCs w:val="20"/>
              </w:rPr>
              <w:t>9.3 (14.4)</w:t>
            </w:r>
          </w:p>
        </w:tc>
        <w:tc>
          <w:tcPr>
            <w:tcW w:w="0" w:type="auto"/>
          </w:tcPr>
          <w:p w14:paraId="0AC95752" w14:textId="6BB003C6" w:rsidR="005E6AA5" w:rsidRPr="008B1A4F" w:rsidRDefault="00690D3C" w:rsidP="00231854">
            <w:pPr>
              <w:spacing w:line="360" w:lineRule="auto"/>
              <w:rPr>
                <w:rFonts w:ascii="Arial" w:hAnsi="Arial" w:cs="Arial"/>
                <w:sz w:val="20"/>
                <w:szCs w:val="20"/>
              </w:rPr>
            </w:pPr>
            <w:r>
              <w:rPr>
                <w:rFonts w:ascii="Arial" w:hAnsi="Arial" w:cs="Arial"/>
                <w:sz w:val="20"/>
                <w:szCs w:val="20"/>
              </w:rPr>
              <w:t>0.3 (1.4)</w:t>
            </w:r>
          </w:p>
        </w:tc>
      </w:tr>
      <w:tr w:rsidR="00903496" w:rsidRPr="004E67E3" w14:paraId="13DAD51C" w14:textId="77777777" w:rsidTr="008B1A4F">
        <w:tc>
          <w:tcPr>
            <w:tcW w:w="0" w:type="auto"/>
          </w:tcPr>
          <w:p w14:paraId="58FD642B" w14:textId="4CC91080" w:rsidR="008516FF" w:rsidRDefault="00016287" w:rsidP="00231854">
            <w:pPr>
              <w:spacing w:line="360" w:lineRule="auto"/>
              <w:rPr>
                <w:rFonts w:ascii="Arial" w:hAnsi="Arial" w:cs="Arial"/>
                <w:sz w:val="20"/>
                <w:szCs w:val="20"/>
              </w:rPr>
            </w:pPr>
            <w:r>
              <w:rPr>
                <w:rFonts w:ascii="Arial" w:hAnsi="Arial" w:cs="Arial"/>
                <w:sz w:val="20"/>
                <w:szCs w:val="20"/>
              </w:rPr>
              <w:t>Population Hispanic, % (SD)</w:t>
            </w:r>
          </w:p>
        </w:tc>
        <w:tc>
          <w:tcPr>
            <w:tcW w:w="0" w:type="auto"/>
          </w:tcPr>
          <w:p w14:paraId="0BF8AFCC" w14:textId="2AEF9667" w:rsidR="008516FF" w:rsidRDefault="008A2B99" w:rsidP="00231854">
            <w:pPr>
              <w:spacing w:line="360" w:lineRule="auto"/>
              <w:rPr>
                <w:rFonts w:ascii="Arial" w:hAnsi="Arial" w:cs="Arial"/>
                <w:sz w:val="20"/>
                <w:szCs w:val="20"/>
              </w:rPr>
            </w:pPr>
            <w:r>
              <w:rPr>
                <w:rFonts w:ascii="Arial" w:hAnsi="Arial" w:cs="Arial"/>
                <w:sz w:val="20"/>
                <w:szCs w:val="20"/>
              </w:rPr>
              <w:t>7.1 (12.5)</w:t>
            </w:r>
          </w:p>
        </w:tc>
        <w:tc>
          <w:tcPr>
            <w:tcW w:w="0" w:type="auto"/>
          </w:tcPr>
          <w:p w14:paraId="5E7CE758" w14:textId="70051A07" w:rsidR="008516FF" w:rsidRDefault="008A2B99" w:rsidP="00231854">
            <w:pPr>
              <w:spacing w:line="360" w:lineRule="auto"/>
              <w:rPr>
                <w:rFonts w:ascii="Arial" w:hAnsi="Arial" w:cs="Arial"/>
                <w:sz w:val="20"/>
                <w:szCs w:val="20"/>
              </w:rPr>
            </w:pPr>
            <w:r>
              <w:rPr>
                <w:rFonts w:ascii="Arial" w:hAnsi="Arial" w:cs="Arial"/>
                <w:sz w:val="20"/>
                <w:szCs w:val="20"/>
              </w:rPr>
              <w:t>9.2 (13.6)</w:t>
            </w:r>
          </w:p>
        </w:tc>
        <w:tc>
          <w:tcPr>
            <w:tcW w:w="0" w:type="auto"/>
          </w:tcPr>
          <w:p w14:paraId="78C40AAF" w14:textId="5A8DC0E2" w:rsidR="008516FF" w:rsidRPr="008B1A4F" w:rsidRDefault="00690D3C" w:rsidP="00231854">
            <w:pPr>
              <w:spacing w:line="360" w:lineRule="auto"/>
              <w:rPr>
                <w:rFonts w:ascii="Arial" w:hAnsi="Arial" w:cs="Arial"/>
                <w:sz w:val="20"/>
                <w:szCs w:val="20"/>
              </w:rPr>
            </w:pPr>
            <w:r>
              <w:rPr>
                <w:rFonts w:ascii="Arial" w:hAnsi="Arial" w:cs="Arial"/>
                <w:sz w:val="20"/>
                <w:szCs w:val="20"/>
              </w:rPr>
              <w:t>2.1 (2.1)</w:t>
            </w:r>
          </w:p>
        </w:tc>
      </w:tr>
      <w:tr w:rsidR="00903496" w:rsidRPr="004E67E3" w14:paraId="5CD4B1B1" w14:textId="77777777" w:rsidTr="008B1A4F">
        <w:tc>
          <w:tcPr>
            <w:tcW w:w="0" w:type="auto"/>
          </w:tcPr>
          <w:p w14:paraId="753C18DD" w14:textId="0D730489" w:rsidR="008A2B99" w:rsidRDefault="00F768FE" w:rsidP="00231854">
            <w:pPr>
              <w:spacing w:line="360" w:lineRule="auto"/>
              <w:rPr>
                <w:rFonts w:ascii="Arial" w:hAnsi="Arial" w:cs="Arial"/>
                <w:sz w:val="20"/>
                <w:szCs w:val="20"/>
              </w:rPr>
            </w:pPr>
            <w:r>
              <w:rPr>
                <w:rFonts w:ascii="Arial" w:hAnsi="Arial" w:cs="Arial"/>
                <w:sz w:val="20"/>
                <w:szCs w:val="20"/>
              </w:rPr>
              <w:t>Unemployment rate, % (SD)</w:t>
            </w:r>
          </w:p>
        </w:tc>
        <w:tc>
          <w:tcPr>
            <w:tcW w:w="0" w:type="auto"/>
          </w:tcPr>
          <w:p w14:paraId="1D92BA51" w14:textId="4B8D8817" w:rsidR="008A2B99" w:rsidRDefault="004002C5" w:rsidP="00231854">
            <w:pPr>
              <w:spacing w:line="360" w:lineRule="auto"/>
              <w:rPr>
                <w:rFonts w:ascii="Arial" w:hAnsi="Arial" w:cs="Arial"/>
                <w:sz w:val="20"/>
                <w:szCs w:val="20"/>
              </w:rPr>
            </w:pPr>
            <w:r>
              <w:rPr>
                <w:rFonts w:ascii="Arial" w:hAnsi="Arial" w:cs="Arial"/>
                <w:sz w:val="20"/>
                <w:szCs w:val="20"/>
              </w:rPr>
              <w:t>5.6 (2.2)</w:t>
            </w:r>
          </w:p>
        </w:tc>
        <w:tc>
          <w:tcPr>
            <w:tcW w:w="0" w:type="auto"/>
          </w:tcPr>
          <w:p w14:paraId="21027BC9" w14:textId="7DDEB5CE" w:rsidR="008A2B99" w:rsidRDefault="004002C5" w:rsidP="00231854">
            <w:pPr>
              <w:spacing w:line="360" w:lineRule="auto"/>
              <w:rPr>
                <w:rFonts w:ascii="Arial" w:hAnsi="Arial" w:cs="Arial"/>
                <w:sz w:val="20"/>
                <w:szCs w:val="20"/>
              </w:rPr>
            </w:pPr>
            <w:r>
              <w:rPr>
                <w:rFonts w:ascii="Arial" w:hAnsi="Arial" w:cs="Arial"/>
                <w:sz w:val="20"/>
                <w:szCs w:val="20"/>
              </w:rPr>
              <w:t>5.8 (2.5)</w:t>
            </w:r>
          </w:p>
        </w:tc>
        <w:tc>
          <w:tcPr>
            <w:tcW w:w="0" w:type="auto"/>
          </w:tcPr>
          <w:p w14:paraId="775396FF" w14:textId="02FE8EA9" w:rsidR="008A2B99" w:rsidRPr="008B1A4F" w:rsidRDefault="006B1DF2" w:rsidP="00231854">
            <w:pPr>
              <w:spacing w:line="360" w:lineRule="auto"/>
              <w:rPr>
                <w:rFonts w:ascii="Arial" w:hAnsi="Arial" w:cs="Arial"/>
                <w:sz w:val="20"/>
                <w:szCs w:val="20"/>
              </w:rPr>
            </w:pPr>
            <w:r>
              <w:rPr>
                <w:rFonts w:ascii="Arial" w:hAnsi="Arial" w:cs="Arial"/>
                <w:sz w:val="20"/>
                <w:szCs w:val="20"/>
              </w:rPr>
              <w:t>0.1 (1.4)</w:t>
            </w:r>
          </w:p>
        </w:tc>
      </w:tr>
      <w:tr w:rsidR="00903496" w:rsidRPr="004E67E3" w14:paraId="11CC89D6" w14:textId="77777777" w:rsidTr="008B1A4F">
        <w:tc>
          <w:tcPr>
            <w:tcW w:w="0" w:type="auto"/>
          </w:tcPr>
          <w:p w14:paraId="70236803" w14:textId="448A41A1" w:rsidR="004002C5" w:rsidRDefault="00814E80" w:rsidP="00231854">
            <w:pPr>
              <w:spacing w:line="360" w:lineRule="auto"/>
              <w:rPr>
                <w:rFonts w:ascii="Arial" w:hAnsi="Arial" w:cs="Arial"/>
                <w:sz w:val="20"/>
                <w:szCs w:val="20"/>
              </w:rPr>
            </w:pPr>
            <w:r>
              <w:rPr>
                <w:rFonts w:ascii="Arial" w:hAnsi="Arial" w:cs="Arial"/>
                <w:sz w:val="20"/>
                <w:szCs w:val="20"/>
              </w:rPr>
              <w:t xml:space="preserve">Uninsured among &lt;65 </w:t>
            </w:r>
            <w:proofErr w:type="spellStart"/>
            <w:r w:rsidR="007A17E4">
              <w:rPr>
                <w:rFonts w:ascii="Arial" w:hAnsi="Arial" w:cs="Arial"/>
                <w:sz w:val="20"/>
                <w:szCs w:val="20"/>
              </w:rPr>
              <w:t>yr</w:t>
            </w:r>
            <w:proofErr w:type="spellEnd"/>
            <w:r w:rsidR="007A17E4">
              <w:rPr>
                <w:rFonts w:ascii="Arial" w:hAnsi="Arial" w:cs="Arial"/>
                <w:sz w:val="20"/>
                <w:szCs w:val="20"/>
              </w:rPr>
              <w:t xml:space="preserve"> olds</w:t>
            </w:r>
            <w:r>
              <w:rPr>
                <w:rFonts w:ascii="Arial" w:hAnsi="Arial" w:cs="Arial"/>
                <w:sz w:val="20"/>
                <w:szCs w:val="20"/>
              </w:rPr>
              <w:t>, % (SD)</w:t>
            </w:r>
          </w:p>
        </w:tc>
        <w:tc>
          <w:tcPr>
            <w:tcW w:w="0" w:type="auto"/>
          </w:tcPr>
          <w:p w14:paraId="195A3A78" w14:textId="1179851C" w:rsidR="004002C5" w:rsidRDefault="00814E80" w:rsidP="00231854">
            <w:pPr>
              <w:spacing w:line="360" w:lineRule="auto"/>
              <w:rPr>
                <w:rFonts w:ascii="Arial" w:hAnsi="Arial" w:cs="Arial"/>
                <w:sz w:val="20"/>
                <w:szCs w:val="20"/>
              </w:rPr>
            </w:pPr>
            <w:r>
              <w:rPr>
                <w:rFonts w:ascii="Arial" w:hAnsi="Arial" w:cs="Arial"/>
                <w:sz w:val="20"/>
                <w:szCs w:val="20"/>
              </w:rPr>
              <w:t>25.0 (7.2)</w:t>
            </w:r>
          </w:p>
        </w:tc>
        <w:tc>
          <w:tcPr>
            <w:tcW w:w="0" w:type="auto"/>
          </w:tcPr>
          <w:p w14:paraId="3581DF57" w14:textId="67E9CADC" w:rsidR="004002C5" w:rsidRDefault="00814E80" w:rsidP="00231854">
            <w:pPr>
              <w:spacing w:line="360" w:lineRule="auto"/>
              <w:rPr>
                <w:rFonts w:ascii="Arial" w:hAnsi="Arial" w:cs="Arial"/>
                <w:sz w:val="20"/>
                <w:szCs w:val="20"/>
              </w:rPr>
            </w:pPr>
            <w:r>
              <w:rPr>
                <w:rFonts w:ascii="Arial" w:hAnsi="Arial" w:cs="Arial"/>
                <w:sz w:val="20"/>
                <w:szCs w:val="20"/>
              </w:rPr>
              <w:t>12.0 (5.1)</w:t>
            </w:r>
          </w:p>
        </w:tc>
        <w:tc>
          <w:tcPr>
            <w:tcW w:w="0" w:type="auto"/>
          </w:tcPr>
          <w:p w14:paraId="5261ECF6" w14:textId="3F985F86" w:rsidR="004002C5" w:rsidRPr="008B1A4F" w:rsidRDefault="00E1127F" w:rsidP="00231854">
            <w:pPr>
              <w:spacing w:line="360" w:lineRule="auto"/>
              <w:rPr>
                <w:rFonts w:ascii="Arial" w:hAnsi="Arial" w:cs="Arial"/>
                <w:sz w:val="20"/>
                <w:szCs w:val="20"/>
              </w:rPr>
            </w:pPr>
            <w:r>
              <w:rPr>
                <w:rFonts w:ascii="Arial" w:hAnsi="Arial" w:cs="Arial"/>
                <w:sz w:val="20"/>
                <w:szCs w:val="20"/>
              </w:rPr>
              <w:t>-13.0 (5.5)</w:t>
            </w:r>
          </w:p>
        </w:tc>
      </w:tr>
      <w:tr w:rsidR="00903496" w:rsidRPr="004E67E3" w14:paraId="23B52C01" w14:textId="77777777" w:rsidTr="008B1A4F">
        <w:tc>
          <w:tcPr>
            <w:tcW w:w="0" w:type="auto"/>
          </w:tcPr>
          <w:p w14:paraId="705081EC" w14:textId="4A358DF4" w:rsidR="00814E80" w:rsidRDefault="00EB4978" w:rsidP="00231854">
            <w:pPr>
              <w:spacing w:line="360" w:lineRule="auto"/>
              <w:rPr>
                <w:rFonts w:ascii="Arial" w:hAnsi="Arial" w:cs="Arial"/>
                <w:sz w:val="20"/>
                <w:szCs w:val="20"/>
              </w:rPr>
            </w:pPr>
            <w:r>
              <w:rPr>
                <w:rFonts w:ascii="Arial" w:hAnsi="Arial" w:cs="Arial"/>
                <w:sz w:val="20"/>
                <w:szCs w:val="20"/>
              </w:rPr>
              <w:t>Hospital beds per 10,000 population, mean (SD)</w:t>
            </w:r>
          </w:p>
        </w:tc>
        <w:tc>
          <w:tcPr>
            <w:tcW w:w="0" w:type="auto"/>
          </w:tcPr>
          <w:p w14:paraId="5B95389D" w14:textId="07E13337" w:rsidR="00814E80" w:rsidRDefault="00132B07" w:rsidP="00231854">
            <w:pPr>
              <w:spacing w:line="360" w:lineRule="auto"/>
              <w:rPr>
                <w:rFonts w:ascii="Arial" w:hAnsi="Arial" w:cs="Arial"/>
                <w:sz w:val="20"/>
                <w:szCs w:val="20"/>
              </w:rPr>
            </w:pPr>
            <w:r>
              <w:rPr>
                <w:rFonts w:ascii="Arial" w:hAnsi="Arial" w:cs="Arial"/>
                <w:sz w:val="20"/>
                <w:szCs w:val="20"/>
              </w:rPr>
              <w:t>35.9 (53.6)</w:t>
            </w:r>
          </w:p>
        </w:tc>
        <w:tc>
          <w:tcPr>
            <w:tcW w:w="0" w:type="auto"/>
          </w:tcPr>
          <w:p w14:paraId="06A9BEDF" w14:textId="1C4B2FFD" w:rsidR="00814E80" w:rsidRDefault="00132B07" w:rsidP="00231854">
            <w:pPr>
              <w:spacing w:line="360" w:lineRule="auto"/>
              <w:rPr>
                <w:rFonts w:ascii="Arial" w:hAnsi="Arial" w:cs="Arial"/>
                <w:sz w:val="20"/>
                <w:szCs w:val="20"/>
              </w:rPr>
            </w:pPr>
            <w:r>
              <w:rPr>
                <w:rFonts w:ascii="Arial" w:hAnsi="Arial" w:cs="Arial"/>
                <w:sz w:val="20"/>
                <w:szCs w:val="20"/>
              </w:rPr>
              <w:t>29.5 (38.4)</w:t>
            </w:r>
          </w:p>
        </w:tc>
        <w:tc>
          <w:tcPr>
            <w:tcW w:w="0" w:type="auto"/>
          </w:tcPr>
          <w:p w14:paraId="390C30B4" w14:textId="66568F4B" w:rsidR="00814E80" w:rsidRPr="008B1A4F" w:rsidRDefault="00B56639" w:rsidP="00231854">
            <w:pPr>
              <w:spacing w:line="360" w:lineRule="auto"/>
              <w:rPr>
                <w:rFonts w:ascii="Arial" w:hAnsi="Arial" w:cs="Arial"/>
                <w:sz w:val="20"/>
                <w:szCs w:val="20"/>
              </w:rPr>
            </w:pPr>
            <w:r>
              <w:rPr>
                <w:rFonts w:ascii="Arial" w:hAnsi="Arial" w:cs="Arial"/>
                <w:sz w:val="20"/>
                <w:szCs w:val="20"/>
              </w:rPr>
              <w:t>-6.3 (41.2)</w:t>
            </w:r>
          </w:p>
        </w:tc>
      </w:tr>
      <w:tr w:rsidR="00903496" w:rsidRPr="004E67E3" w14:paraId="760A9914" w14:textId="77777777" w:rsidTr="008B1A4F">
        <w:tc>
          <w:tcPr>
            <w:tcW w:w="0" w:type="auto"/>
          </w:tcPr>
          <w:p w14:paraId="752C1DDC" w14:textId="045F7A5D" w:rsidR="00132B07" w:rsidRDefault="003A382D" w:rsidP="00231854">
            <w:pPr>
              <w:spacing w:line="360" w:lineRule="auto"/>
              <w:rPr>
                <w:rFonts w:ascii="Arial" w:hAnsi="Arial" w:cs="Arial"/>
                <w:sz w:val="20"/>
                <w:szCs w:val="20"/>
              </w:rPr>
            </w:pPr>
            <w:r>
              <w:rPr>
                <w:rFonts w:ascii="Arial" w:hAnsi="Arial" w:cs="Arial"/>
                <w:sz w:val="20"/>
                <w:szCs w:val="20"/>
              </w:rPr>
              <w:t>Medicare enrollment, % (SD)</w:t>
            </w:r>
          </w:p>
        </w:tc>
        <w:tc>
          <w:tcPr>
            <w:tcW w:w="0" w:type="auto"/>
          </w:tcPr>
          <w:p w14:paraId="3882888B" w14:textId="603936B9" w:rsidR="00132B07" w:rsidRDefault="003A382D" w:rsidP="00231854">
            <w:pPr>
              <w:spacing w:line="360" w:lineRule="auto"/>
              <w:rPr>
                <w:rFonts w:ascii="Arial" w:hAnsi="Arial" w:cs="Arial"/>
                <w:sz w:val="20"/>
                <w:szCs w:val="20"/>
              </w:rPr>
            </w:pPr>
            <w:r>
              <w:rPr>
                <w:rFonts w:ascii="Arial" w:hAnsi="Arial" w:cs="Arial"/>
                <w:sz w:val="20"/>
                <w:szCs w:val="20"/>
              </w:rPr>
              <w:t>16.3 (5.2)</w:t>
            </w:r>
          </w:p>
        </w:tc>
        <w:tc>
          <w:tcPr>
            <w:tcW w:w="0" w:type="auto"/>
          </w:tcPr>
          <w:p w14:paraId="02BD0DA6" w14:textId="18AC0B38" w:rsidR="00132B07" w:rsidRDefault="003A382D" w:rsidP="00231854">
            <w:pPr>
              <w:spacing w:line="360" w:lineRule="auto"/>
              <w:rPr>
                <w:rFonts w:ascii="Arial" w:hAnsi="Arial" w:cs="Arial"/>
                <w:sz w:val="20"/>
                <w:szCs w:val="20"/>
              </w:rPr>
            </w:pPr>
            <w:r>
              <w:rPr>
                <w:rFonts w:ascii="Arial" w:hAnsi="Arial" w:cs="Arial"/>
                <w:sz w:val="20"/>
                <w:szCs w:val="20"/>
              </w:rPr>
              <w:t>20.6 (6.0)</w:t>
            </w:r>
          </w:p>
        </w:tc>
        <w:tc>
          <w:tcPr>
            <w:tcW w:w="0" w:type="auto"/>
          </w:tcPr>
          <w:p w14:paraId="29C141EB" w14:textId="02AF6419" w:rsidR="00132B07" w:rsidRPr="008B1A4F" w:rsidRDefault="00CD7154" w:rsidP="00231854">
            <w:pPr>
              <w:spacing w:line="360" w:lineRule="auto"/>
              <w:rPr>
                <w:rFonts w:ascii="Arial" w:hAnsi="Arial" w:cs="Arial"/>
                <w:sz w:val="20"/>
                <w:szCs w:val="20"/>
              </w:rPr>
            </w:pPr>
            <w:r>
              <w:rPr>
                <w:rFonts w:ascii="Arial" w:hAnsi="Arial" w:cs="Arial"/>
                <w:sz w:val="20"/>
                <w:szCs w:val="20"/>
              </w:rPr>
              <w:t>4.3 (3.1)</w:t>
            </w:r>
          </w:p>
        </w:tc>
      </w:tr>
      <w:tr w:rsidR="00903496" w:rsidRPr="004E67E3" w14:paraId="3621E7C4" w14:textId="77777777" w:rsidTr="008B1A4F">
        <w:tc>
          <w:tcPr>
            <w:tcW w:w="0" w:type="auto"/>
          </w:tcPr>
          <w:p w14:paraId="0364E29F" w14:textId="3A4D3FAE" w:rsidR="003A382D" w:rsidRDefault="00F243E0" w:rsidP="00231854">
            <w:pPr>
              <w:spacing w:line="360" w:lineRule="auto"/>
              <w:rPr>
                <w:rFonts w:ascii="Arial" w:hAnsi="Arial" w:cs="Arial"/>
                <w:sz w:val="20"/>
                <w:szCs w:val="20"/>
              </w:rPr>
            </w:pPr>
            <w:r>
              <w:rPr>
                <w:rFonts w:ascii="Arial" w:hAnsi="Arial" w:cs="Arial"/>
                <w:sz w:val="20"/>
                <w:szCs w:val="20"/>
              </w:rPr>
              <w:t>P</w:t>
            </w:r>
            <w:r w:rsidR="008875DE">
              <w:rPr>
                <w:rFonts w:ascii="Arial" w:hAnsi="Arial" w:cs="Arial"/>
                <w:sz w:val="20"/>
                <w:szCs w:val="20"/>
              </w:rPr>
              <w:t>er capita medical costs, $US 2015 (SD)</w:t>
            </w:r>
          </w:p>
        </w:tc>
        <w:tc>
          <w:tcPr>
            <w:tcW w:w="0" w:type="auto"/>
          </w:tcPr>
          <w:p w14:paraId="5056A07D" w14:textId="02E18449" w:rsidR="003A382D" w:rsidRDefault="008875DE" w:rsidP="00231854">
            <w:pPr>
              <w:spacing w:line="360" w:lineRule="auto"/>
              <w:rPr>
                <w:rFonts w:ascii="Arial" w:hAnsi="Arial" w:cs="Arial"/>
                <w:sz w:val="20"/>
                <w:szCs w:val="20"/>
              </w:rPr>
            </w:pPr>
            <w:r>
              <w:rPr>
                <w:rFonts w:ascii="Arial" w:hAnsi="Arial" w:cs="Arial"/>
                <w:sz w:val="20"/>
                <w:szCs w:val="20"/>
              </w:rPr>
              <w:t>$8</w:t>
            </w:r>
            <w:r w:rsidR="006F1F01">
              <w:rPr>
                <w:rFonts w:ascii="Arial" w:hAnsi="Arial" w:cs="Arial"/>
                <w:sz w:val="20"/>
                <w:szCs w:val="20"/>
              </w:rPr>
              <w:t>,</w:t>
            </w:r>
            <w:r>
              <w:rPr>
                <w:rFonts w:ascii="Arial" w:hAnsi="Arial" w:cs="Arial"/>
                <w:sz w:val="20"/>
                <w:szCs w:val="20"/>
              </w:rPr>
              <w:t>9</w:t>
            </w:r>
            <w:r w:rsidR="006F1F01">
              <w:rPr>
                <w:rFonts w:ascii="Arial" w:hAnsi="Arial" w:cs="Arial"/>
                <w:sz w:val="20"/>
                <w:szCs w:val="20"/>
              </w:rPr>
              <w:t>46</w:t>
            </w:r>
            <w:r>
              <w:rPr>
                <w:rFonts w:ascii="Arial" w:hAnsi="Arial" w:cs="Arial"/>
                <w:sz w:val="20"/>
                <w:szCs w:val="20"/>
              </w:rPr>
              <w:t xml:space="preserve"> (</w:t>
            </w:r>
            <w:r w:rsidR="006F1F01">
              <w:rPr>
                <w:rFonts w:ascii="Arial" w:hAnsi="Arial" w:cs="Arial"/>
                <w:sz w:val="20"/>
                <w:szCs w:val="20"/>
              </w:rPr>
              <w:t>1,868</w:t>
            </w:r>
            <w:r>
              <w:rPr>
                <w:rFonts w:ascii="Arial" w:hAnsi="Arial" w:cs="Arial"/>
                <w:sz w:val="20"/>
                <w:szCs w:val="20"/>
              </w:rPr>
              <w:t>)</w:t>
            </w:r>
          </w:p>
        </w:tc>
        <w:tc>
          <w:tcPr>
            <w:tcW w:w="0" w:type="auto"/>
          </w:tcPr>
          <w:p w14:paraId="2657B421" w14:textId="0A3297F4" w:rsidR="003A382D" w:rsidRDefault="008875DE" w:rsidP="00231854">
            <w:pPr>
              <w:spacing w:line="360" w:lineRule="auto"/>
              <w:rPr>
                <w:rFonts w:ascii="Arial" w:hAnsi="Arial" w:cs="Arial"/>
                <w:sz w:val="20"/>
                <w:szCs w:val="20"/>
              </w:rPr>
            </w:pPr>
            <w:r>
              <w:rPr>
                <w:rFonts w:ascii="Arial" w:hAnsi="Arial" w:cs="Arial"/>
                <w:sz w:val="20"/>
                <w:szCs w:val="20"/>
              </w:rPr>
              <w:t>$9</w:t>
            </w:r>
            <w:r w:rsidR="006F1F01">
              <w:rPr>
                <w:rFonts w:ascii="Arial" w:hAnsi="Arial" w:cs="Arial"/>
                <w:sz w:val="20"/>
                <w:szCs w:val="20"/>
              </w:rPr>
              <w:t>,843 (1,226</w:t>
            </w:r>
            <w:r>
              <w:rPr>
                <w:rFonts w:ascii="Arial" w:hAnsi="Arial" w:cs="Arial"/>
                <w:sz w:val="20"/>
                <w:szCs w:val="20"/>
              </w:rPr>
              <w:t>)</w:t>
            </w:r>
          </w:p>
        </w:tc>
        <w:tc>
          <w:tcPr>
            <w:tcW w:w="0" w:type="auto"/>
          </w:tcPr>
          <w:p w14:paraId="0DA60BDD" w14:textId="020DFE00" w:rsidR="003A382D" w:rsidRPr="008B1A4F" w:rsidRDefault="00E079A2" w:rsidP="00231854">
            <w:pPr>
              <w:spacing w:line="360" w:lineRule="auto"/>
              <w:rPr>
                <w:rFonts w:ascii="Arial" w:hAnsi="Arial" w:cs="Arial"/>
                <w:sz w:val="20"/>
                <w:szCs w:val="20"/>
              </w:rPr>
            </w:pPr>
            <w:r>
              <w:rPr>
                <w:rFonts w:ascii="Arial" w:hAnsi="Arial" w:cs="Arial"/>
                <w:sz w:val="20"/>
                <w:szCs w:val="20"/>
              </w:rPr>
              <w:t>$898 (1,864)</w:t>
            </w:r>
          </w:p>
        </w:tc>
      </w:tr>
      <w:tr w:rsidR="00903496" w:rsidRPr="004E67E3" w14:paraId="051CDE58" w14:textId="77777777" w:rsidTr="008B1A4F">
        <w:tc>
          <w:tcPr>
            <w:tcW w:w="0" w:type="auto"/>
          </w:tcPr>
          <w:p w14:paraId="0C657874" w14:textId="01AED955" w:rsidR="008875DE" w:rsidRDefault="00E4561B" w:rsidP="00231854">
            <w:pPr>
              <w:spacing w:line="360" w:lineRule="auto"/>
              <w:rPr>
                <w:rFonts w:ascii="Arial" w:hAnsi="Arial" w:cs="Arial"/>
                <w:sz w:val="20"/>
                <w:szCs w:val="20"/>
              </w:rPr>
            </w:pPr>
            <w:r>
              <w:rPr>
                <w:rFonts w:ascii="Arial" w:hAnsi="Arial" w:cs="Arial"/>
                <w:sz w:val="20"/>
                <w:szCs w:val="20"/>
              </w:rPr>
              <w:t>Adult t</w:t>
            </w:r>
            <w:r w:rsidR="00644DBC">
              <w:rPr>
                <w:rFonts w:ascii="Arial" w:hAnsi="Arial" w:cs="Arial"/>
                <w:sz w:val="20"/>
                <w:szCs w:val="20"/>
              </w:rPr>
              <w:t>obacco smoking, % (SD)</w:t>
            </w:r>
          </w:p>
        </w:tc>
        <w:tc>
          <w:tcPr>
            <w:tcW w:w="0" w:type="auto"/>
          </w:tcPr>
          <w:p w14:paraId="2BCAC4C5" w14:textId="27C948B1" w:rsidR="008875DE" w:rsidRDefault="0038635D" w:rsidP="00231854">
            <w:pPr>
              <w:spacing w:line="360" w:lineRule="auto"/>
              <w:rPr>
                <w:rFonts w:ascii="Arial" w:hAnsi="Arial" w:cs="Arial"/>
                <w:sz w:val="20"/>
                <w:szCs w:val="20"/>
              </w:rPr>
            </w:pPr>
            <w:r>
              <w:rPr>
                <w:rFonts w:ascii="Arial" w:hAnsi="Arial" w:cs="Arial"/>
                <w:sz w:val="20"/>
                <w:szCs w:val="20"/>
              </w:rPr>
              <w:t>17.9 (3.5)</w:t>
            </w:r>
          </w:p>
        </w:tc>
        <w:tc>
          <w:tcPr>
            <w:tcW w:w="0" w:type="auto"/>
          </w:tcPr>
          <w:p w14:paraId="1CEB901C" w14:textId="7DE454F2" w:rsidR="008875DE" w:rsidRDefault="0038635D" w:rsidP="00231854">
            <w:pPr>
              <w:spacing w:line="360" w:lineRule="auto"/>
              <w:rPr>
                <w:rFonts w:ascii="Arial" w:hAnsi="Arial" w:cs="Arial"/>
                <w:sz w:val="20"/>
                <w:szCs w:val="20"/>
              </w:rPr>
            </w:pPr>
            <w:r>
              <w:rPr>
                <w:rFonts w:ascii="Arial" w:hAnsi="Arial" w:cs="Arial"/>
                <w:sz w:val="20"/>
                <w:szCs w:val="20"/>
              </w:rPr>
              <w:t>21.1 (5.9)</w:t>
            </w:r>
          </w:p>
        </w:tc>
        <w:tc>
          <w:tcPr>
            <w:tcW w:w="0" w:type="auto"/>
          </w:tcPr>
          <w:p w14:paraId="14045425" w14:textId="15301AFA" w:rsidR="008875DE" w:rsidRPr="008B1A4F" w:rsidRDefault="003F6D2D" w:rsidP="00231854">
            <w:pPr>
              <w:spacing w:line="360" w:lineRule="auto"/>
              <w:rPr>
                <w:rFonts w:ascii="Arial" w:hAnsi="Arial" w:cs="Arial"/>
                <w:sz w:val="20"/>
                <w:szCs w:val="20"/>
              </w:rPr>
            </w:pPr>
            <w:r>
              <w:rPr>
                <w:rFonts w:ascii="Arial" w:hAnsi="Arial" w:cs="Arial"/>
                <w:sz w:val="20"/>
                <w:szCs w:val="20"/>
              </w:rPr>
              <w:t>3.3 (4.5)</w:t>
            </w:r>
          </w:p>
        </w:tc>
      </w:tr>
      <w:tr w:rsidR="00903496" w:rsidRPr="004E67E3" w14:paraId="2D00B7E1" w14:textId="77777777" w:rsidTr="008B1A4F">
        <w:tc>
          <w:tcPr>
            <w:tcW w:w="0" w:type="auto"/>
          </w:tcPr>
          <w:p w14:paraId="11E2C494" w14:textId="7C1A2727" w:rsidR="0038635D" w:rsidRDefault="00E4561B" w:rsidP="00231854">
            <w:pPr>
              <w:spacing w:line="360" w:lineRule="auto"/>
              <w:rPr>
                <w:rFonts w:ascii="Arial" w:hAnsi="Arial" w:cs="Arial"/>
                <w:sz w:val="20"/>
                <w:szCs w:val="20"/>
              </w:rPr>
            </w:pPr>
            <w:r>
              <w:rPr>
                <w:rFonts w:ascii="Arial" w:hAnsi="Arial" w:cs="Arial"/>
                <w:sz w:val="20"/>
                <w:szCs w:val="20"/>
              </w:rPr>
              <w:t>Adult obesity, % (SD)</w:t>
            </w:r>
          </w:p>
        </w:tc>
        <w:tc>
          <w:tcPr>
            <w:tcW w:w="0" w:type="auto"/>
          </w:tcPr>
          <w:p w14:paraId="439C21D4" w14:textId="60E36638" w:rsidR="0038635D" w:rsidRDefault="005B0A31" w:rsidP="00231854">
            <w:pPr>
              <w:spacing w:line="360" w:lineRule="auto"/>
              <w:rPr>
                <w:rFonts w:ascii="Arial" w:hAnsi="Arial" w:cs="Arial"/>
                <w:sz w:val="20"/>
                <w:szCs w:val="20"/>
              </w:rPr>
            </w:pPr>
            <w:r>
              <w:rPr>
                <w:rFonts w:ascii="Arial" w:hAnsi="Arial" w:cs="Arial"/>
                <w:sz w:val="20"/>
                <w:szCs w:val="20"/>
              </w:rPr>
              <w:t>27.5 (3.6)</w:t>
            </w:r>
          </w:p>
        </w:tc>
        <w:tc>
          <w:tcPr>
            <w:tcW w:w="0" w:type="auto"/>
          </w:tcPr>
          <w:p w14:paraId="57CAA778" w14:textId="36AB6E2A" w:rsidR="0038635D" w:rsidRDefault="005B0A31" w:rsidP="00231854">
            <w:pPr>
              <w:spacing w:line="360" w:lineRule="auto"/>
              <w:rPr>
                <w:rFonts w:ascii="Arial" w:hAnsi="Arial" w:cs="Arial"/>
                <w:sz w:val="20"/>
                <w:szCs w:val="20"/>
              </w:rPr>
            </w:pPr>
            <w:r>
              <w:rPr>
                <w:rFonts w:ascii="Arial" w:hAnsi="Arial" w:cs="Arial"/>
                <w:sz w:val="20"/>
                <w:szCs w:val="20"/>
              </w:rPr>
              <w:t>32.1 (5.5)</w:t>
            </w:r>
          </w:p>
        </w:tc>
        <w:tc>
          <w:tcPr>
            <w:tcW w:w="0" w:type="auto"/>
          </w:tcPr>
          <w:p w14:paraId="14877E30" w14:textId="7187B791" w:rsidR="0038635D" w:rsidRPr="008B1A4F" w:rsidRDefault="003F6D2D" w:rsidP="00231854">
            <w:pPr>
              <w:spacing w:line="360" w:lineRule="auto"/>
              <w:rPr>
                <w:rFonts w:ascii="Arial" w:hAnsi="Arial" w:cs="Arial"/>
                <w:sz w:val="20"/>
                <w:szCs w:val="20"/>
              </w:rPr>
            </w:pPr>
            <w:r>
              <w:rPr>
                <w:rFonts w:ascii="Arial" w:hAnsi="Arial" w:cs="Arial"/>
                <w:sz w:val="20"/>
                <w:szCs w:val="20"/>
              </w:rPr>
              <w:t>4.5 (4.1)</w:t>
            </w:r>
          </w:p>
        </w:tc>
      </w:tr>
      <w:tr w:rsidR="00903496" w:rsidRPr="004E67E3" w14:paraId="17713EEA" w14:textId="77777777" w:rsidTr="008B1A4F">
        <w:tc>
          <w:tcPr>
            <w:tcW w:w="0" w:type="auto"/>
          </w:tcPr>
          <w:p w14:paraId="7E9B10F9" w14:textId="0A1CD74C" w:rsidR="005B0A31" w:rsidRDefault="00231854" w:rsidP="00231854">
            <w:pPr>
              <w:spacing w:line="360" w:lineRule="auto"/>
              <w:rPr>
                <w:rFonts w:ascii="Arial" w:hAnsi="Arial" w:cs="Arial"/>
                <w:sz w:val="20"/>
                <w:szCs w:val="20"/>
              </w:rPr>
            </w:pPr>
            <w:r>
              <w:rPr>
                <w:rFonts w:ascii="Arial" w:hAnsi="Arial" w:cs="Arial"/>
                <w:sz w:val="20"/>
                <w:szCs w:val="20"/>
              </w:rPr>
              <w:t xml:space="preserve">High ozone days, </w:t>
            </w:r>
            <w:r w:rsidR="005F5ABB">
              <w:rPr>
                <w:rFonts w:ascii="Arial" w:hAnsi="Arial" w:cs="Arial"/>
                <w:sz w:val="20"/>
                <w:szCs w:val="20"/>
              </w:rPr>
              <w:t>% (SD)</w:t>
            </w:r>
          </w:p>
        </w:tc>
        <w:tc>
          <w:tcPr>
            <w:tcW w:w="0" w:type="auto"/>
          </w:tcPr>
          <w:p w14:paraId="1DE70E3B" w14:textId="10405B3E" w:rsidR="005B0A31" w:rsidRDefault="00400EAE" w:rsidP="00231854">
            <w:pPr>
              <w:spacing w:line="360" w:lineRule="auto"/>
              <w:rPr>
                <w:rFonts w:ascii="Arial" w:hAnsi="Arial" w:cs="Arial"/>
                <w:sz w:val="20"/>
                <w:szCs w:val="20"/>
              </w:rPr>
            </w:pPr>
            <w:r>
              <w:rPr>
                <w:rFonts w:ascii="Arial" w:hAnsi="Arial" w:cs="Arial"/>
                <w:sz w:val="20"/>
                <w:szCs w:val="20"/>
              </w:rPr>
              <w:t>4.7 (8.3)</w:t>
            </w:r>
          </w:p>
        </w:tc>
        <w:tc>
          <w:tcPr>
            <w:tcW w:w="0" w:type="auto"/>
          </w:tcPr>
          <w:p w14:paraId="4419A4F5" w14:textId="73F723AA" w:rsidR="005B0A31" w:rsidRDefault="00400EAE" w:rsidP="00231854">
            <w:pPr>
              <w:spacing w:line="360" w:lineRule="auto"/>
              <w:rPr>
                <w:rFonts w:ascii="Arial" w:hAnsi="Arial" w:cs="Arial"/>
                <w:sz w:val="20"/>
                <w:szCs w:val="20"/>
              </w:rPr>
            </w:pPr>
            <w:r>
              <w:rPr>
                <w:rFonts w:ascii="Arial" w:hAnsi="Arial" w:cs="Arial"/>
                <w:sz w:val="20"/>
                <w:szCs w:val="20"/>
              </w:rPr>
              <w:t>6.2 (10.7)</w:t>
            </w:r>
          </w:p>
        </w:tc>
        <w:tc>
          <w:tcPr>
            <w:tcW w:w="0" w:type="auto"/>
          </w:tcPr>
          <w:p w14:paraId="26DA1556" w14:textId="7E9A3234" w:rsidR="005B0A31" w:rsidRPr="008B1A4F" w:rsidRDefault="003F6D2D" w:rsidP="00231854">
            <w:pPr>
              <w:spacing w:line="360" w:lineRule="auto"/>
              <w:rPr>
                <w:rFonts w:ascii="Arial" w:hAnsi="Arial" w:cs="Arial"/>
                <w:sz w:val="20"/>
                <w:szCs w:val="20"/>
              </w:rPr>
            </w:pPr>
            <w:r>
              <w:rPr>
                <w:rFonts w:ascii="Arial" w:hAnsi="Arial" w:cs="Arial"/>
                <w:sz w:val="20"/>
                <w:szCs w:val="20"/>
              </w:rPr>
              <w:t>1.5 (9.7)</w:t>
            </w:r>
          </w:p>
        </w:tc>
      </w:tr>
      <w:tr w:rsidR="00903496" w:rsidRPr="004E67E3" w14:paraId="5B1F540D" w14:textId="77777777" w:rsidTr="008B1A4F">
        <w:tc>
          <w:tcPr>
            <w:tcW w:w="0" w:type="auto"/>
          </w:tcPr>
          <w:p w14:paraId="0261F1F8" w14:textId="438DDC5B" w:rsidR="00400EAE" w:rsidRDefault="00BC3009" w:rsidP="00231854">
            <w:pPr>
              <w:spacing w:line="360" w:lineRule="auto"/>
              <w:rPr>
                <w:rFonts w:ascii="Arial" w:hAnsi="Arial" w:cs="Arial"/>
                <w:sz w:val="20"/>
                <w:szCs w:val="20"/>
              </w:rPr>
            </w:pPr>
            <w:r>
              <w:rPr>
                <w:rFonts w:ascii="Arial" w:hAnsi="Arial" w:cs="Arial"/>
                <w:sz w:val="20"/>
                <w:szCs w:val="20"/>
              </w:rPr>
              <w:t>Non-primary-care physicians per 10,000 population, mean (SD)</w:t>
            </w:r>
          </w:p>
        </w:tc>
        <w:tc>
          <w:tcPr>
            <w:tcW w:w="0" w:type="auto"/>
          </w:tcPr>
          <w:p w14:paraId="028C681A" w14:textId="28C30851" w:rsidR="00400EAE" w:rsidRDefault="00352388" w:rsidP="00231854">
            <w:pPr>
              <w:spacing w:line="360" w:lineRule="auto"/>
              <w:rPr>
                <w:rFonts w:ascii="Arial" w:hAnsi="Arial" w:cs="Arial"/>
                <w:sz w:val="20"/>
                <w:szCs w:val="20"/>
              </w:rPr>
            </w:pPr>
            <w:r>
              <w:rPr>
                <w:rFonts w:ascii="Arial" w:hAnsi="Arial" w:cs="Arial"/>
                <w:sz w:val="20"/>
                <w:szCs w:val="20"/>
              </w:rPr>
              <w:t>7.4 (11.0)</w:t>
            </w:r>
          </w:p>
        </w:tc>
        <w:tc>
          <w:tcPr>
            <w:tcW w:w="0" w:type="auto"/>
          </w:tcPr>
          <w:p w14:paraId="5F8258FB" w14:textId="4F3947AF" w:rsidR="00400EAE" w:rsidRDefault="00352388" w:rsidP="00231854">
            <w:pPr>
              <w:spacing w:line="360" w:lineRule="auto"/>
              <w:rPr>
                <w:rFonts w:ascii="Arial" w:hAnsi="Arial" w:cs="Arial"/>
                <w:sz w:val="20"/>
                <w:szCs w:val="20"/>
              </w:rPr>
            </w:pPr>
            <w:r>
              <w:rPr>
                <w:rFonts w:ascii="Arial" w:hAnsi="Arial" w:cs="Arial"/>
                <w:sz w:val="20"/>
                <w:szCs w:val="20"/>
              </w:rPr>
              <w:t>7.7 (12.7)</w:t>
            </w:r>
          </w:p>
        </w:tc>
        <w:tc>
          <w:tcPr>
            <w:tcW w:w="0" w:type="auto"/>
          </w:tcPr>
          <w:p w14:paraId="269C741D" w14:textId="1341B030" w:rsidR="00400EAE" w:rsidRPr="008B1A4F" w:rsidRDefault="00352388" w:rsidP="00231854">
            <w:pPr>
              <w:spacing w:line="360" w:lineRule="auto"/>
              <w:rPr>
                <w:rFonts w:ascii="Arial" w:hAnsi="Arial" w:cs="Arial"/>
                <w:sz w:val="20"/>
                <w:szCs w:val="20"/>
              </w:rPr>
            </w:pPr>
            <w:r>
              <w:rPr>
                <w:rFonts w:ascii="Arial" w:hAnsi="Arial" w:cs="Arial"/>
                <w:sz w:val="20"/>
                <w:szCs w:val="20"/>
              </w:rPr>
              <w:t>0.3 (3.8)</w:t>
            </w:r>
          </w:p>
        </w:tc>
      </w:tr>
      <w:tr w:rsidR="00903496" w:rsidRPr="004E67E3" w14:paraId="501D774B" w14:textId="77777777" w:rsidTr="008B1A4F">
        <w:tc>
          <w:tcPr>
            <w:tcW w:w="0" w:type="auto"/>
          </w:tcPr>
          <w:p w14:paraId="6F1D1710" w14:textId="4E4638CC" w:rsidR="00903496" w:rsidRDefault="00903496" w:rsidP="00231854">
            <w:pPr>
              <w:spacing w:line="360" w:lineRule="auto"/>
              <w:rPr>
                <w:rFonts w:ascii="Arial" w:hAnsi="Arial" w:cs="Arial"/>
                <w:sz w:val="20"/>
                <w:szCs w:val="20"/>
              </w:rPr>
            </w:pPr>
            <w:r>
              <w:rPr>
                <w:rFonts w:ascii="Arial" w:hAnsi="Arial" w:cs="Arial"/>
                <w:sz w:val="20"/>
                <w:szCs w:val="20"/>
              </w:rPr>
              <w:t>Life expectancy at birth, age adjusted, mean (SD)</w:t>
            </w:r>
          </w:p>
        </w:tc>
        <w:tc>
          <w:tcPr>
            <w:tcW w:w="0" w:type="auto"/>
          </w:tcPr>
          <w:p w14:paraId="4A0AABCF" w14:textId="46B8A2ED" w:rsidR="00903496" w:rsidRDefault="00071C83" w:rsidP="00231854">
            <w:pPr>
              <w:spacing w:line="360" w:lineRule="auto"/>
              <w:rPr>
                <w:rFonts w:ascii="Arial" w:hAnsi="Arial" w:cs="Arial"/>
                <w:sz w:val="20"/>
                <w:szCs w:val="20"/>
              </w:rPr>
            </w:pPr>
            <w:r>
              <w:rPr>
                <w:rFonts w:ascii="Arial" w:hAnsi="Arial" w:cs="Arial"/>
                <w:sz w:val="20"/>
                <w:szCs w:val="20"/>
              </w:rPr>
              <w:t>76.8 (2.2)</w:t>
            </w:r>
          </w:p>
        </w:tc>
        <w:tc>
          <w:tcPr>
            <w:tcW w:w="0" w:type="auto"/>
          </w:tcPr>
          <w:p w14:paraId="166E0CBA" w14:textId="0DD7030D" w:rsidR="00903496" w:rsidRDefault="00071C83" w:rsidP="00231854">
            <w:pPr>
              <w:spacing w:line="360" w:lineRule="auto"/>
              <w:rPr>
                <w:rFonts w:ascii="Arial" w:hAnsi="Arial" w:cs="Arial"/>
                <w:sz w:val="20"/>
                <w:szCs w:val="20"/>
              </w:rPr>
            </w:pPr>
            <w:r>
              <w:rPr>
                <w:rFonts w:ascii="Arial" w:hAnsi="Arial" w:cs="Arial"/>
                <w:sz w:val="20"/>
                <w:szCs w:val="20"/>
              </w:rPr>
              <w:t>77.8 (2.4)</w:t>
            </w:r>
          </w:p>
        </w:tc>
        <w:tc>
          <w:tcPr>
            <w:tcW w:w="0" w:type="auto"/>
          </w:tcPr>
          <w:p w14:paraId="16EAFDF6" w14:textId="65BAAD7C" w:rsidR="00903496" w:rsidRDefault="00B34D71" w:rsidP="00231854">
            <w:pPr>
              <w:spacing w:line="360" w:lineRule="auto"/>
              <w:rPr>
                <w:rFonts w:ascii="Arial" w:hAnsi="Arial" w:cs="Arial"/>
                <w:sz w:val="20"/>
                <w:szCs w:val="20"/>
              </w:rPr>
            </w:pPr>
            <w:r>
              <w:rPr>
                <w:rFonts w:ascii="Arial" w:hAnsi="Arial" w:cs="Arial"/>
                <w:sz w:val="20"/>
                <w:szCs w:val="20"/>
              </w:rPr>
              <w:t>1.0 (0.4)</w:t>
            </w:r>
          </w:p>
        </w:tc>
      </w:tr>
      <w:tr w:rsidR="00903496" w:rsidRPr="004E67E3" w14:paraId="4B6A8E6B" w14:textId="77777777" w:rsidTr="008B1A4F">
        <w:tc>
          <w:tcPr>
            <w:tcW w:w="0" w:type="auto"/>
          </w:tcPr>
          <w:p w14:paraId="427F6F1D" w14:textId="357F5F48" w:rsidR="00903496" w:rsidRDefault="00903496" w:rsidP="00231854">
            <w:pPr>
              <w:spacing w:line="360" w:lineRule="auto"/>
              <w:rPr>
                <w:rFonts w:ascii="Arial" w:hAnsi="Arial" w:cs="Arial"/>
                <w:sz w:val="20"/>
                <w:szCs w:val="20"/>
              </w:rPr>
            </w:pPr>
            <w:r>
              <w:rPr>
                <w:rFonts w:ascii="Arial" w:hAnsi="Arial" w:cs="Arial"/>
                <w:sz w:val="20"/>
                <w:szCs w:val="20"/>
              </w:rPr>
              <w:t>Cancer mortality, age-adjusted deaths/100,000, mean (SD)</w:t>
            </w:r>
          </w:p>
        </w:tc>
        <w:tc>
          <w:tcPr>
            <w:tcW w:w="0" w:type="auto"/>
          </w:tcPr>
          <w:p w14:paraId="2DD69423" w14:textId="19C63698" w:rsidR="00903496" w:rsidRDefault="00B57CE6" w:rsidP="00231854">
            <w:pPr>
              <w:spacing w:line="360" w:lineRule="auto"/>
              <w:rPr>
                <w:rFonts w:ascii="Arial" w:hAnsi="Arial" w:cs="Arial"/>
                <w:sz w:val="20"/>
                <w:szCs w:val="20"/>
              </w:rPr>
            </w:pPr>
            <w:r>
              <w:rPr>
                <w:rFonts w:ascii="Arial" w:hAnsi="Arial" w:cs="Arial"/>
                <w:sz w:val="20"/>
                <w:szCs w:val="20"/>
              </w:rPr>
              <w:t>214.1 (</w:t>
            </w:r>
            <w:r w:rsidR="00ED09FB">
              <w:rPr>
                <w:rFonts w:ascii="Arial" w:hAnsi="Arial" w:cs="Arial"/>
                <w:sz w:val="20"/>
                <w:szCs w:val="20"/>
              </w:rPr>
              <w:t>28.6)</w:t>
            </w:r>
          </w:p>
        </w:tc>
        <w:tc>
          <w:tcPr>
            <w:tcW w:w="0" w:type="auto"/>
          </w:tcPr>
          <w:p w14:paraId="1BFDCC12" w14:textId="451C4987" w:rsidR="00903496" w:rsidRDefault="00B57CE6" w:rsidP="00231854">
            <w:pPr>
              <w:spacing w:line="360" w:lineRule="auto"/>
              <w:rPr>
                <w:rFonts w:ascii="Arial" w:hAnsi="Arial" w:cs="Arial"/>
                <w:sz w:val="20"/>
                <w:szCs w:val="20"/>
              </w:rPr>
            </w:pPr>
            <w:r>
              <w:rPr>
                <w:rFonts w:ascii="Arial" w:hAnsi="Arial" w:cs="Arial"/>
                <w:sz w:val="20"/>
                <w:szCs w:val="20"/>
              </w:rPr>
              <w:t>206.9 (</w:t>
            </w:r>
            <w:r w:rsidR="00ED09FB">
              <w:rPr>
                <w:rFonts w:ascii="Arial" w:hAnsi="Arial" w:cs="Arial"/>
                <w:sz w:val="20"/>
                <w:szCs w:val="20"/>
              </w:rPr>
              <w:t>32.4)</w:t>
            </w:r>
          </w:p>
        </w:tc>
        <w:tc>
          <w:tcPr>
            <w:tcW w:w="0" w:type="auto"/>
          </w:tcPr>
          <w:p w14:paraId="728AA1B5" w14:textId="6C44E336" w:rsidR="00903496" w:rsidRDefault="00ED09FB" w:rsidP="00231854">
            <w:pPr>
              <w:spacing w:line="360" w:lineRule="auto"/>
              <w:rPr>
                <w:rFonts w:ascii="Arial" w:hAnsi="Arial" w:cs="Arial"/>
                <w:sz w:val="20"/>
                <w:szCs w:val="20"/>
              </w:rPr>
            </w:pPr>
            <w:r>
              <w:rPr>
                <w:rFonts w:ascii="Arial" w:hAnsi="Arial" w:cs="Arial"/>
                <w:sz w:val="20"/>
                <w:szCs w:val="20"/>
              </w:rPr>
              <w:t>-7.2 (7.6)</w:t>
            </w:r>
          </w:p>
        </w:tc>
      </w:tr>
      <w:tr w:rsidR="00903496" w:rsidRPr="004E67E3" w14:paraId="6F19DFBA" w14:textId="77777777" w:rsidTr="008B1A4F">
        <w:tc>
          <w:tcPr>
            <w:tcW w:w="0" w:type="auto"/>
          </w:tcPr>
          <w:p w14:paraId="28FBE670" w14:textId="5C7C8035" w:rsidR="00903496" w:rsidRDefault="00903496" w:rsidP="00231854">
            <w:pPr>
              <w:spacing w:line="360" w:lineRule="auto"/>
              <w:rPr>
                <w:rFonts w:ascii="Arial" w:hAnsi="Arial" w:cs="Arial"/>
                <w:sz w:val="20"/>
                <w:szCs w:val="20"/>
              </w:rPr>
            </w:pPr>
            <w:r>
              <w:rPr>
                <w:rFonts w:ascii="Arial" w:hAnsi="Arial" w:cs="Arial"/>
                <w:sz w:val="20"/>
                <w:szCs w:val="20"/>
              </w:rPr>
              <w:t>Cardiovascular mortality, age-adjusted deaths/100,000, mean (SD)</w:t>
            </w:r>
          </w:p>
        </w:tc>
        <w:tc>
          <w:tcPr>
            <w:tcW w:w="0" w:type="auto"/>
          </w:tcPr>
          <w:p w14:paraId="62C42835" w14:textId="75FD22CA" w:rsidR="00903496" w:rsidRDefault="0074013C" w:rsidP="00231854">
            <w:pPr>
              <w:spacing w:line="360" w:lineRule="auto"/>
              <w:rPr>
                <w:rFonts w:ascii="Arial" w:hAnsi="Arial" w:cs="Arial"/>
                <w:sz w:val="20"/>
                <w:szCs w:val="20"/>
              </w:rPr>
            </w:pPr>
            <w:r>
              <w:rPr>
                <w:rFonts w:ascii="Arial" w:hAnsi="Arial" w:cs="Arial"/>
                <w:sz w:val="20"/>
                <w:szCs w:val="20"/>
              </w:rPr>
              <w:t>317.22 (</w:t>
            </w:r>
            <w:r w:rsidR="006B2617">
              <w:rPr>
                <w:rFonts w:ascii="Arial" w:hAnsi="Arial" w:cs="Arial"/>
                <w:sz w:val="20"/>
                <w:szCs w:val="20"/>
              </w:rPr>
              <w:t>59.0)</w:t>
            </w:r>
          </w:p>
        </w:tc>
        <w:tc>
          <w:tcPr>
            <w:tcW w:w="0" w:type="auto"/>
          </w:tcPr>
          <w:p w14:paraId="1A476B13" w14:textId="6A10197B" w:rsidR="00903496" w:rsidRDefault="006B2617" w:rsidP="00231854">
            <w:pPr>
              <w:spacing w:line="360" w:lineRule="auto"/>
              <w:rPr>
                <w:rFonts w:ascii="Arial" w:hAnsi="Arial" w:cs="Arial"/>
                <w:sz w:val="20"/>
                <w:szCs w:val="20"/>
              </w:rPr>
            </w:pPr>
            <w:r>
              <w:rPr>
                <w:rFonts w:ascii="Arial" w:hAnsi="Arial" w:cs="Arial"/>
                <w:sz w:val="20"/>
                <w:szCs w:val="20"/>
              </w:rPr>
              <w:t>277.6 (59.7)</w:t>
            </w:r>
          </w:p>
        </w:tc>
        <w:tc>
          <w:tcPr>
            <w:tcW w:w="0" w:type="auto"/>
          </w:tcPr>
          <w:p w14:paraId="40E36802" w14:textId="7CBF911C" w:rsidR="00903496" w:rsidRDefault="006B2617" w:rsidP="00231854">
            <w:pPr>
              <w:spacing w:line="360" w:lineRule="auto"/>
              <w:rPr>
                <w:rFonts w:ascii="Arial" w:hAnsi="Arial" w:cs="Arial"/>
                <w:sz w:val="20"/>
                <w:szCs w:val="20"/>
              </w:rPr>
            </w:pPr>
            <w:r>
              <w:rPr>
                <w:rFonts w:ascii="Arial" w:hAnsi="Arial" w:cs="Arial"/>
                <w:sz w:val="20"/>
                <w:szCs w:val="20"/>
              </w:rPr>
              <w:t>-39.6 (13.7)</w:t>
            </w:r>
          </w:p>
        </w:tc>
      </w:tr>
      <w:tr w:rsidR="00903496" w:rsidRPr="004E67E3" w14:paraId="57884FC5" w14:textId="77777777" w:rsidTr="008B1A4F">
        <w:tc>
          <w:tcPr>
            <w:tcW w:w="0" w:type="auto"/>
          </w:tcPr>
          <w:p w14:paraId="0C9D2DFA" w14:textId="6A34BC20" w:rsidR="00903496" w:rsidRPr="00650070" w:rsidRDefault="00903496" w:rsidP="00231854">
            <w:pPr>
              <w:spacing w:line="360" w:lineRule="auto"/>
              <w:rPr>
                <w:rFonts w:ascii="Arial" w:hAnsi="Arial" w:cs="Arial"/>
                <w:sz w:val="20"/>
                <w:szCs w:val="20"/>
              </w:rPr>
            </w:pPr>
            <w:r w:rsidRPr="00650070">
              <w:rPr>
                <w:rFonts w:ascii="Arial" w:hAnsi="Arial" w:cs="Arial"/>
                <w:sz w:val="20"/>
                <w:szCs w:val="20"/>
              </w:rPr>
              <w:lastRenderedPageBreak/>
              <w:t>Infectious mortality, age-adjusted deaths/100,000, mean (SD)</w:t>
            </w:r>
          </w:p>
        </w:tc>
        <w:tc>
          <w:tcPr>
            <w:tcW w:w="0" w:type="auto"/>
          </w:tcPr>
          <w:p w14:paraId="04F978CF" w14:textId="2ADD6B71" w:rsidR="00903496" w:rsidRPr="00650070" w:rsidRDefault="00650070" w:rsidP="00231854">
            <w:pPr>
              <w:spacing w:line="360" w:lineRule="auto"/>
              <w:rPr>
                <w:rFonts w:ascii="Arial" w:hAnsi="Arial" w:cs="Arial"/>
                <w:sz w:val="20"/>
                <w:szCs w:val="20"/>
              </w:rPr>
            </w:pPr>
            <w:r w:rsidRPr="00650070">
              <w:rPr>
                <w:rFonts w:ascii="Arial" w:hAnsi="Arial" w:cs="Arial"/>
                <w:sz w:val="20"/>
                <w:szCs w:val="20"/>
              </w:rPr>
              <w:t>38.8 (10.9)</w:t>
            </w:r>
          </w:p>
        </w:tc>
        <w:tc>
          <w:tcPr>
            <w:tcW w:w="0" w:type="auto"/>
          </w:tcPr>
          <w:p w14:paraId="719C5E62" w14:textId="1A1B96E9" w:rsidR="00903496" w:rsidRPr="00650070" w:rsidRDefault="00650070" w:rsidP="00231854">
            <w:pPr>
              <w:spacing w:line="360" w:lineRule="auto"/>
              <w:rPr>
                <w:rFonts w:ascii="Arial" w:hAnsi="Arial" w:cs="Arial"/>
                <w:sz w:val="20"/>
                <w:szCs w:val="20"/>
              </w:rPr>
            </w:pPr>
            <w:r w:rsidRPr="00650070">
              <w:rPr>
                <w:rFonts w:ascii="Arial" w:hAnsi="Arial" w:cs="Arial"/>
                <w:sz w:val="20"/>
                <w:szCs w:val="20"/>
              </w:rPr>
              <w:t>34.8 (11.6)</w:t>
            </w:r>
          </w:p>
        </w:tc>
        <w:tc>
          <w:tcPr>
            <w:tcW w:w="0" w:type="auto"/>
          </w:tcPr>
          <w:p w14:paraId="16DDD6DB" w14:textId="471224A6" w:rsidR="00903496" w:rsidRPr="00650070" w:rsidRDefault="00650070" w:rsidP="00231854">
            <w:pPr>
              <w:spacing w:line="360" w:lineRule="auto"/>
              <w:rPr>
                <w:rFonts w:ascii="Arial" w:hAnsi="Arial" w:cs="Arial"/>
                <w:sz w:val="20"/>
                <w:szCs w:val="20"/>
              </w:rPr>
            </w:pPr>
            <w:r w:rsidRPr="00650070">
              <w:rPr>
                <w:rFonts w:ascii="Arial" w:hAnsi="Arial" w:cs="Arial"/>
                <w:sz w:val="20"/>
                <w:szCs w:val="20"/>
              </w:rPr>
              <w:t>-4.0 (3.4)</w:t>
            </w:r>
          </w:p>
        </w:tc>
      </w:tr>
      <w:tr w:rsidR="00903496" w:rsidRPr="004E67E3" w14:paraId="1A7F6B83" w14:textId="77777777" w:rsidTr="008B1A4F">
        <w:tc>
          <w:tcPr>
            <w:tcW w:w="0" w:type="auto"/>
          </w:tcPr>
          <w:p w14:paraId="06A0B914" w14:textId="6D62F8BB" w:rsidR="00903496" w:rsidRDefault="00903496" w:rsidP="00231854">
            <w:pPr>
              <w:spacing w:line="360" w:lineRule="auto"/>
              <w:rPr>
                <w:rFonts w:ascii="Arial" w:hAnsi="Arial" w:cs="Arial"/>
                <w:sz w:val="20"/>
                <w:szCs w:val="20"/>
              </w:rPr>
            </w:pPr>
            <w:r>
              <w:rPr>
                <w:rFonts w:ascii="Arial" w:hAnsi="Arial" w:cs="Arial"/>
                <w:sz w:val="20"/>
                <w:szCs w:val="20"/>
              </w:rPr>
              <w:t>Respiratory mortality, age-adjusted deaths/100,000, mean (SD)</w:t>
            </w:r>
          </w:p>
        </w:tc>
        <w:tc>
          <w:tcPr>
            <w:tcW w:w="0" w:type="auto"/>
          </w:tcPr>
          <w:p w14:paraId="5EE8E113" w14:textId="74858F45" w:rsidR="00903496" w:rsidRDefault="002D0AC9" w:rsidP="00231854">
            <w:pPr>
              <w:spacing w:line="360" w:lineRule="auto"/>
              <w:rPr>
                <w:rFonts w:ascii="Arial" w:hAnsi="Arial" w:cs="Arial"/>
                <w:sz w:val="20"/>
                <w:szCs w:val="20"/>
              </w:rPr>
            </w:pPr>
            <w:r>
              <w:rPr>
                <w:rFonts w:ascii="Arial" w:hAnsi="Arial" w:cs="Arial"/>
                <w:sz w:val="20"/>
                <w:szCs w:val="20"/>
              </w:rPr>
              <w:t>62.4 (14.0)</w:t>
            </w:r>
          </w:p>
        </w:tc>
        <w:tc>
          <w:tcPr>
            <w:tcW w:w="0" w:type="auto"/>
          </w:tcPr>
          <w:p w14:paraId="270F7833" w14:textId="310BD4E7" w:rsidR="00903496" w:rsidRDefault="002D0AC9" w:rsidP="00231854">
            <w:pPr>
              <w:spacing w:line="360" w:lineRule="auto"/>
              <w:rPr>
                <w:rFonts w:ascii="Arial" w:hAnsi="Arial" w:cs="Arial"/>
                <w:sz w:val="20"/>
                <w:szCs w:val="20"/>
              </w:rPr>
            </w:pPr>
            <w:r>
              <w:rPr>
                <w:rFonts w:ascii="Arial" w:hAnsi="Arial" w:cs="Arial"/>
                <w:sz w:val="20"/>
                <w:szCs w:val="20"/>
              </w:rPr>
              <w:t>64.2 (17.4)</w:t>
            </w:r>
          </w:p>
        </w:tc>
        <w:tc>
          <w:tcPr>
            <w:tcW w:w="0" w:type="auto"/>
          </w:tcPr>
          <w:p w14:paraId="17831313" w14:textId="6E479105" w:rsidR="00903496" w:rsidRDefault="002D0AC9" w:rsidP="00231854">
            <w:pPr>
              <w:spacing w:line="360" w:lineRule="auto"/>
              <w:rPr>
                <w:rFonts w:ascii="Arial" w:hAnsi="Arial" w:cs="Arial"/>
                <w:sz w:val="20"/>
                <w:szCs w:val="20"/>
              </w:rPr>
            </w:pPr>
            <w:r>
              <w:rPr>
                <w:rFonts w:ascii="Arial" w:hAnsi="Arial" w:cs="Arial"/>
                <w:sz w:val="20"/>
                <w:szCs w:val="20"/>
              </w:rPr>
              <w:t>1.8 (5.3)</w:t>
            </w:r>
          </w:p>
        </w:tc>
      </w:tr>
      <w:tr w:rsidR="00903496" w:rsidRPr="004E67E3" w14:paraId="4EBEB47A" w14:textId="77777777" w:rsidTr="008B1A4F">
        <w:tc>
          <w:tcPr>
            <w:tcW w:w="0" w:type="auto"/>
          </w:tcPr>
          <w:p w14:paraId="7C5F9425" w14:textId="6ED5ACA1" w:rsidR="00903496" w:rsidRPr="00072DFE" w:rsidRDefault="00B66795" w:rsidP="00231854">
            <w:pPr>
              <w:spacing w:line="360" w:lineRule="auto"/>
              <w:rPr>
                <w:rFonts w:ascii="Arial" w:hAnsi="Arial" w:cs="Arial"/>
                <w:sz w:val="20"/>
                <w:szCs w:val="20"/>
              </w:rPr>
            </w:pPr>
            <w:r>
              <w:rPr>
                <w:rFonts w:ascii="Arial" w:hAnsi="Arial" w:cs="Arial"/>
                <w:sz w:val="20"/>
                <w:szCs w:val="20"/>
              </w:rPr>
              <w:t>S</w:t>
            </w:r>
            <w:r w:rsidR="001C02E1" w:rsidRPr="00072DFE">
              <w:rPr>
                <w:rFonts w:ascii="Arial" w:hAnsi="Arial" w:cs="Arial"/>
                <w:sz w:val="20"/>
                <w:szCs w:val="20"/>
              </w:rPr>
              <w:t>ubstance</w:t>
            </w:r>
            <w:r>
              <w:rPr>
                <w:rFonts w:ascii="Arial" w:hAnsi="Arial" w:cs="Arial"/>
                <w:sz w:val="20"/>
                <w:szCs w:val="20"/>
              </w:rPr>
              <w:t>/injury</w:t>
            </w:r>
            <w:r w:rsidR="00903496" w:rsidRPr="00072DFE">
              <w:rPr>
                <w:rFonts w:ascii="Arial" w:hAnsi="Arial" w:cs="Arial"/>
                <w:sz w:val="20"/>
                <w:szCs w:val="20"/>
              </w:rPr>
              <w:t xml:space="preserve"> mortality, age-adjusted deaths/100,000, mean (SD)</w:t>
            </w:r>
          </w:p>
        </w:tc>
        <w:tc>
          <w:tcPr>
            <w:tcW w:w="0" w:type="auto"/>
          </w:tcPr>
          <w:p w14:paraId="79C33EEE" w14:textId="544A7D77" w:rsidR="00903496" w:rsidRPr="00072DFE" w:rsidRDefault="00072DFE" w:rsidP="00231854">
            <w:pPr>
              <w:spacing w:line="360" w:lineRule="auto"/>
              <w:rPr>
                <w:rFonts w:ascii="Arial" w:hAnsi="Arial" w:cs="Arial"/>
                <w:sz w:val="20"/>
                <w:szCs w:val="20"/>
              </w:rPr>
            </w:pPr>
            <w:r w:rsidRPr="00072DFE">
              <w:rPr>
                <w:rFonts w:ascii="Arial" w:hAnsi="Arial" w:cs="Arial"/>
                <w:sz w:val="20"/>
                <w:szCs w:val="20"/>
              </w:rPr>
              <w:t>30.4 (10.7)</w:t>
            </w:r>
          </w:p>
        </w:tc>
        <w:tc>
          <w:tcPr>
            <w:tcW w:w="0" w:type="auto"/>
          </w:tcPr>
          <w:p w14:paraId="52523B74" w14:textId="5028E1FB" w:rsidR="00903496" w:rsidRPr="00072DFE" w:rsidRDefault="00072DFE" w:rsidP="00231854">
            <w:pPr>
              <w:spacing w:line="360" w:lineRule="auto"/>
              <w:rPr>
                <w:rFonts w:ascii="Arial" w:hAnsi="Arial" w:cs="Arial"/>
                <w:sz w:val="20"/>
                <w:szCs w:val="20"/>
              </w:rPr>
            </w:pPr>
            <w:r w:rsidRPr="00072DFE">
              <w:rPr>
                <w:rFonts w:ascii="Arial" w:hAnsi="Arial" w:cs="Arial"/>
                <w:sz w:val="20"/>
                <w:szCs w:val="20"/>
              </w:rPr>
              <w:t>35.5 (12.9)</w:t>
            </w:r>
          </w:p>
        </w:tc>
        <w:tc>
          <w:tcPr>
            <w:tcW w:w="0" w:type="auto"/>
          </w:tcPr>
          <w:p w14:paraId="37BFA8E2" w14:textId="446D1562" w:rsidR="00903496" w:rsidRPr="00072DFE" w:rsidRDefault="00072DFE" w:rsidP="00231854">
            <w:pPr>
              <w:spacing w:line="360" w:lineRule="auto"/>
              <w:rPr>
                <w:rFonts w:ascii="Arial" w:hAnsi="Arial" w:cs="Arial"/>
                <w:sz w:val="20"/>
                <w:szCs w:val="20"/>
              </w:rPr>
            </w:pPr>
            <w:r w:rsidRPr="00072DFE">
              <w:rPr>
                <w:rFonts w:ascii="Arial" w:hAnsi="Arial" w:cs="Arial"/>
                <w:sz w:val="20"/>
                <w:szCs w:val="20"/>
              </w:rPr>
              <w:t>5.1 (4.2)</w:t>
            </w:r>
          </w:p>
        </w:tc>
      </w:tr>
      <w:tr w:rsidR="008B4AF6" w:rsidRPr="004E67E3" w14:paraId="36ED2294" w14:textId="77777777" w:rsidTr="008B1A4F">
        <w:tc>
          <w:tcPr>
            <w:tcW w:w="0" w:type="auto"/>
          </w:tcPr>
          <w:p w14:paraId="192C8CBB" w14:textId="0B6E0867" w:rsidR="008B4AF6" w:rsidRDefault="008B4AF6" w:rsidP="00231854">
            <w:pPr>
              <w:spacing w:line="360" w:lineRule="auto"/>
              <w:rPr>
                <w:rFonts w:ascii="Arial" w:hAnsi="Arial" w:cs="Arial"/>
                <w:sz w:val="20"/>
                <w:szCs w:val="20"/>
              </w:rPr>
            </w:pPr>
            <w:r>
              <w:rPr>
                <w:rFonts w:ascii="Arial" w:hAnsi="Arial" w:cs="Arial"/>
                <w:sz w:val="20"/>
                <w:szCs w:val="20"/>
              </w:rPr>
              <w:t>Motor transport deaths, age-adjusted deaths/100,000, mean (SD)</w:t>
            </w:r>
          </w:p>
        </w:tc>
        <w:tc>
          <w:tcPr>
            <w:tcW w:w="0" w:type="auto"/>
          </w:tcPr>
          <w:p w14:paraId="5D1FAE82" w14:textId="1BBFC634" w:rsidR="008B4AF6" w:rsidRDefault="002B751D" w:rsidP="00231854">
            <w:pPr>
              <w:spacing w:line="360" w:lineRule="auto"/>
              <w:rPr>
                <w:rFonts w:ascii="Arial" w:hAnsi="Arial" w:cs="Arial"/>
                <w:sz w:val="20"/>
                <w:szCs w:val="20"/>
              </w:rPr>
            </w:pPr>
            <w:r>
              <w:rPr>
                <w:rFonts w:ascii="Arial" w:hAnsi="Arial" w:cs="Arial"/>
                <w:sz w:val="20"/>
                <w:szCs w:val="20"/>
              </w:rPr>
              <w:t>19.6 (13.9)</w:t>
            </w:r>
          </w:p>
        </w:tc>
        <w:tc>
          <w:tcPr>
            <w:tcW w:w="0" w:type="auto"/>
          </w:tcPr>
          <w:p w14:paraId="2376A37F" w14:textId="19CF6C79" w:rsidR="008B4AF6" w:rsidRDefault="002B751D" w:rsidP="00231854">
            <w:pPr>
              <w:spacing w:line="360" w:lineRule="auto"/>
              <w:rPr>
                <w:rFonts w:ascii="Arial" w:hAnsi="Arial" w:cs="Arial"/>
                <w:sz w:val="20"/>
                <w:szCs w:val="20"/>
              </w:rPr>
            </w:pPr>
            <w:r>
              <w:rPr>
                <w:rFonts w:ascii="Arial" w:hAnsi="Arial" w:cs="Arial"/>
                <w:sz w:val="20"/>
                <w:szCs w:val="20"/>
              </w:rPr>
              <w:t>20.3 (10.8)</w:t>
            </w:r>
          </w:p>
        </w:tc>
        <w:tc>
          <w:tcPr>
            <w:tcW w:w="0" w:type="auto"/>
          </w:tcPr>
          <w:p w14:paraId="196AF2B1" w14:textId="0397E039" w:rsidR="008B4AF6" w:rsidRDefault="002B751D" w:rsidP="00231854">
            <w:pPr>
              <w:spacing w:line="360" w:lineRule="auto"/>
              <w:rPr>
                <w:rFonts w:ascii="Arial" w:hAnsi="Arial" w:cs="Arial"/>
                <w:sz w:val="20"/>
                <w:szCs w:val="20"/>
              </w:rPr>
            </w:pPr>
            <w:r>
              <w:rPr>
                <w:rFonts w:ascii="Arial" w:hAnsi="Arial" w:cs="Arial"/>
                <w:sz w:val="20"/>
                <w:szCs w:val="20"/>
              </w:rPr>
              <w:t>4.2 (6.8)</w:t>
            </w:r>
          </w:p>
        </w:tc>
      </w:tr>
      <w:tr w:rsidR="008B4AF6" w:rsidRPr="004E67E3" w14:paraId="49AFF211" w14:textId="77777777" w:rsidTr="008B1A4F">
        <w:tc>
          <w:tcPr>
            <w:tcW w:w="0" w:type="auto"/>
          </w:tcPr>
          <w:p w14:paraId="10185F96" w14:textId="7C94AF18" w:rsidR="008B4AF6" w:rsidRDefault="008B4AF6" w:rsidP="00231854">
            <w:pPr>
              <w:spacing w:line="360" w:lineRule="auto"/>
              <w:rPr>
                <w:rFonts w:ascii="Arial" w:hAnsi="Arial" w:cs="Arial"/>
                <w:sz w:val="20"/>
                <w:szCs w:val="20"/>
              </w:rPr>
            </w:pPr>
            <w:r>
              <w:rPr>
                <w:rFonts w:ascii="Arial" w:hAnsi="Arial" w:cs="Arial"/>
                <w:sz w:val="20"/>
                <w:szCs w:val="20"/>
              </w:rPr>
              <w:t>Interpersonal violence deaths, age-adjusted deaths/100,000, mean (SD)</w:t>
            </w:r>
          </w:p>
        </w:tc>
        <w:tc>
          <w:tcPr>
            <w:tcW w:w="0" w:type="auto"/>
          </w:tcPr>
          <w:p w14:paraId="1217B192" w14:textId="143AB702" w:rsidR="008B4AF6" w:rsidRDefault="00CC6C12" w:rsidP="00231854">
            <w:pPr>
              <w:spacing w:line="360" w:lineRule="auto"/>
              <w:rPr>
                <w:rFonts w:ascii="Arial" w:hAnsi="Arial" w:cs="Arial"/>
                <w:sz w:val="20"/>
                <w:szCs w:val="20"/>
              </w:rPr>
            </w:pPr>
            <w:r>
              <w:rPr>
                <w:rFonts w:ascii="Arial" w:hAnsi="Arial" w:cs="Arial"/>
                <w:sz w:val="20"/>
                <w:szCs w:val="20"/>
              </w:rPr>
              <w:t>5.3 (</w:t>
            </w:r>
            <w:r w:rsidR="0087325B">
              <w:rPr>
                <w:rFonts w:ascii="Arial" w:hAnsi="Arial" w:cs="Arial"/>
                <w:sz w:val="20"/>
                <w:szCs w:val="20"/>
              </w:rPr>
              <w:t>3.8)</w:t>
            </w:r>
          </w:p>
        </w:tc>
        <w:tc>
          <w:tcPr>
            <w:tcW w:w="0" w:type="auto"/>
          </w:tcPr>
          <w:p w14:paraId="3203EABB" w14:textId="21446897" w:rsidR="008B4AF6" w:rsidRDefault="0087325B" w:rsidP="00231854">
            <w:pPr>
              <w:spacing w:line="360" w:lineRule="auto"/>
              <w:rPr>
                <w:rFonts w:ascii="Arial" w:hAnsi="Arial" w:cs="Arial"/>
                <w:sz w:val="20"/>
                <w:szCs w:val="20"/>
              </w:rPr>
            </w:pPr>
            <w:r>
              <w:rPr>
                <w:rFonts w:ascii="Arial" w:hAnsi="Arial" w:cs="Arial"/>
                <w:sz w:val="20"/>
                <w:szCs w:val="20"/>
              </w:rPr>
              <w:t>5.0 (3.5)</w:t>
            </w:r>
          </w:p>
        </w:tc>
        <w:tc>
          <w:tcPr>
            <w:tcW w:w="0" w:type="auto"/>
          </w:tcPr>
          <w:p w14:paraId="5B50E6B7" w14:textId="1044CF5A" w:rsidR="008B4AF6" w:rsidRDefault="0087325B" w:rsidP="00231854">
            <w:pPr>
              <w:spacing w:line="360" w:lineRule="auto"/>
              <w:rPr>
                <w:rFonts w:ascii="Arial" w:hAnsi="Arial" w:cs="Arial"/>
                <w:sz w:val="20"/>
                <w:szCs w:val="20"/>
              </w:rPr>
            </w:pPr>
            <w:r>
              <w:rPr>
                <w:rFonts w:ascii="Arial" w:hAnsi="Arial" w:cs="Arial"/>
                <w:sz w:val="20"/>
                <w:szCs w:val="20"/>
              </w:rPr>
              <w:t>-0.3 (0.8)</w:t>
            </w:r>
          </w:p>
        </w:tc>
      </w:tr>
    </w:tbl>
    <w:p w14:paraId="20FBFE56" w14:textId="15C55510" w:rsidR="00A8275A" w:rsidRDefault="00AA5E2B" w:rsidP="00EB1580">
      <w:pPr>
        <w:spacing w:line="360" w:lineRule="auto"/>
        <w:rPr>
          <w:rFonts w:ascii="Times New Roman" w:hAnsi="Times New Roman"/>
        </w:rPr>
      </w:pPr>
      <w:r>
        <w:rPr>
          <w:rFonts w:ascii="Times New Roman" w:hAnsi="Times New Roman"/>
        </w:rPr>
        <w:t xml:space="preserve"> </w:t>
      </w:r>
    </w:p>
    <w:p w14:paraId="468A6905" w14:textId="780E975F" w:rsidR="007C73EC" w:rsidRDefault="007C73EC" w:rsidP="00EB1580">
      <w:pPr>
        <w:spacing w:line="360" w:lineRule="auto"/>
        <w:rPr>
          <w:rFonts w:ascii="Times New Roman" w:hAnsi="Times New Roman"/>
        </w:rPr>
        <w:sectPr w:rsidR="007C73EC" w:rsidSect="00D634E0">
          <w:footerReference w:type="default" r:id="rId10"/>
          <w:pgSz w:w="12240" w:h="15840"/>
          <w:pgMar w:top="1440" w:right="1800" w:bottom="1440" w:left="1800" w:header="720" w:footer="720" w:gutter="0"/>
          <w:lnNumType w:countBy="1" w:restart="continuous"/>
          <w:cols w:space="720"/>
          <w:docGrid w:linePitch="360"/>
        </w:sectPr>
      </w:pPr>
    </w:p>
    <w:p w14:paraId="4ED16E2B" w14:textId="7D83DB8B" w:rsidR="00BB2653" w:rsidRDefault="00BB2653" w:rsidP="00EB1580">
      <w:pPr>
        <w:spacing w:line="360" w:lineRule="auto"/>
        <w:rPr>
          <w:rFonts w:ascii="Times New Roman" w:hAnsi="Times New Roman"/>
        </w:rPr>
      </w:pPr>
      <w:r>
        <w:rPr>
          <w:rFonts w:ascii="Times New Roman" w:hAnsi="Times New Roman"/>
          <w:u w:val="single"/>
        </w:rPr>
        <w:lastRenderedPageBreak/>
        <w:t>Table 2:</w:t>
      </w:r>
      <w:r>
        <w:rPr>
          <w:rFonts w:ascii="Times New Roman" w:hAnsi="Times New Roman"/>
        </w:rPr>
        <w:t xml:space="preserve"> Results of fixed-effects regressions relating primary care physician density and county-level covariates to </w:t>
      </w:r>
      <w:r w:rsidR="001577DE">
        <w:rPr>
          <w:rFonts w:ascii="Times New Roman" w:hAnsi="Times New Roman"/>
        </w:rPr>
        <w:t xml:space="preserve">age-standardized </w:t>
      </w:r>
      <w:r>
        <w:rPr>
          <w:rFonts w:ascii="Times New Roman" w:hAnsi="Times New Roman"/>
        </w:rPr>
        <w:t>life expectancy at birth</w:t>
      </w:r>
      <w:r w:rsidR="00A40732">
        <w:rPr>
          <w:rFonts w:ascii="Times New Roman" w:hAnsi="Times New Roman"/>
        </w:rPr>
        <w:t xml:space="preserve"> and cause-specific mortality</w:t>
      </w:r>
      <w:r w:rsidR="001577DE">
        <w:rPr>
          <w:rFonts w:ascii="Times New Roman" w:hAnsi="Times New Roman"/>
        </w:rPr>
        <w:t xml:space="preserve"> (N=3,142 U.S. counties)</w:t>
      </w:r>
      <w:r>
        <w:rPr>
          <w:rFonts w:ascii="Times New Roman" w:hAnsi="Times New Roman"/>
        </w:rPr>
        <w:t>, 2005-2015</w:t>
      </w:r>
      <w:r w:rsidR="00A8275A">
        <w:rPr>
          <w:rFonts w:ascii="Times New Roman" w:hAnsi="Times New Roman"/>
        </w:rPr>
        <w:t>.</w:t>
      </w:r>
      <w:r w:rsidR="00F51098">
        <w:rPr>
          <w:rFonts w:ascii="Times New Roman" w:hAnsi="Times New Roman"/>
        </w:rPr>
        <w:t xml:space="preserve"> </w:t>
      </w:r>
      <w:r w:rsidR="005C1F42">
        <w:rPr>
          <w:rFonts w:ascii="Times New Roman" w:hAnsi="Times New Roman"/>
        </w:rPr>
        <w:t>SD: standard deviation.</w:t>
      </w:r>
    </w:p>
    <w:tbl>
      <w:tblPr>
        <w:tblStyle w:val="TableGrid"/>
        <w:tblW w:w="9787" w:type="dxa"/>
        <w:tblLook w:val="04A0" w:firstRow="1" w:lastRow="0" w:firstColumn="1" w:lastColumn="0" w:noHBand="0" w:noVBand="1"/>
      </w:tblPr>
      <w:tblGrid>
        <w:gridCol w:w="4024"/>
        <w:gridCol w:w="5763"/>
      </w:tblGrid>
      <w:tr w:rsidR="003B3BBB" w:rsidRPr="00946D77" w14:paraId="61D0FCC5" w14:textId="15CDEA7F" w:rsidTr="003B3BBB">
        <w:tc>
          <w:tcPr>
            <w:tcW w:w="0" w:type="auto"/>
          </w:tcPr>
          <w:p w14:paraId="7C39E28C" w14:textId="6CBEFF27" w:rsidR="003B3BBB" w:rsidRPr="008E1C7E" w:rsidRDefault="00073DE9" w:rsidP="00003D6E">
            <w:pPr>
              <w:spacing w:line="360" w:lineRule="auto"/>
              <w:rPr>
                <w:rFonts w:ascii="Arial" w:hAnsi="Arial" w:cs="Arial"/>
                <w:b/>
                <w:sz w:val="20"/>
                <w:szCs w:val="20"/>
              </w:rPr>
            </w:pPr>
            <w:bookmarkStart w:id="3" w:name="_Hlk510102256"/>
            <w:r w:rsidRPr="008E1C7E">
              <w:rPr>
                <w:rFonts w:ascii="Arial" w:hAnsi="Arial" w:cs="Arial"/>
                <w:b/>
                <w:sz w:val="20"/>
                <w:szCs w:val="20"/>
              </w:rPr>
              <w:t>Covariate</w:t>
            </w:r>
          </w:p>
        </w:tc>
        <w:tc>
          <w:tcPr>
            <w:tcW w:w="0" w:type="auto"/>
          </w:tcPr>
          <w:p w14:paraId="53B50015" w14:textId="325100C6" w:rsidR="003B3BBB" w:rsidRPr="003D2842" w:rsidRDefault="00073DE9" w:rsidP="00003D6E">
            <w:pPr>
              <w:spacing w:line="360" w:lineRule="auto"/>
              <w:rPr>
                <w:rFonts w:ascii="Arial" w:hAnsi="Arial" w:cs="Arial"/>
                <w:sz w:val="20"/>
                <w:szCs w:val="20"/>
                <w:highlight w:val="yellow"/>
              </w:rPr>
            </w:pPr>
            <w:r w:rsidRPr="008E1C7E">
              <w:rPr>
                <w:rFonts w:ascii="Arial" w:hAnsi="Arial" w:cs="Arial"/>
                <w:b/>
                <w:sz w:val="20"/>
                <w:szCs w:val="20"/>
              </w:rPr>
              <w:t xml:space="preserve">Change in </w:t>
            </w:r>
            <w:r w:rsidRPr="00073DE9">
              <w:rPr>
                <w:rFonts w:ascii="Arial" w:hAnsi="Arial" w:cs="Arial"/>
                <w:b/>
                <w:sz w:val="20"/>
                <w:szCs w:val="20"/>
              </w:rPr>
              <w:t>age-adjusted life expectancy (days) given a 1 SD increase in covariate, mean (SE)</w:t>
            </w:r>
          </w:p>
        </w:tc>
      </w:tr>
      <w:bookmarkEnd w:id="3"/>
      <w:tr w:rsidR="003B3BBB" w:rsidRPr="00946D77" w14:paraId="0080415F" w14:textId="6751B0E4" w:rsidTr="003B3BBB">
        <w:tc>
          <w:tcPr>
            <w:tcW w:w="0" w:type="auto"/>
          </w:tcPr>
          <w:p w14:paraId="39870A78" w14:textId="5AB455CE" w:rsidR="003B3BBB" w:rsidRPr="008E1C7E" w:rsidRDefault="003B3BBB" w:rsidP="00003D6E">
            <w:pPr>
              <w:spacing w:line="360" w:lineRule="auto"/>
              <w:rPr>
                <w:rFonts w:ascii="Arial" w:hAnsi="Arial" w:cs="Arial"/>
                <w:b/>
                <w:sz w:val="20"/>
                <w:szCs w:val="20"/>
              </w:rPr>
            </w:pPr>
            <w:r w:rsidRPr="008E1C7E">
              <w:rPr>
                <w:rFonts w:ascii="Arial" w:hAnsi="Arial" w:cs="Arial"/>
                <w:sz w:val="20"/>
                <w:szCs w:val="20"/>
              </w:rPr>
              <w:t>Primary care physicians per 10,000 population</w:t>
            </w:r>
          </w:p>
        </w:tc>
        <w:tc>
          <w:tcPr>
            <w:tcW w:w="0" w:type="auto"/>
          </w:tcPr>
          <w:p w14:paraId="0CA97377" w14:textId="1D56CEA3" w:rsidR="003B3BBB" w:rsidRPr="008E1C7E" w:rsidRDefault="003B3BBB" w:rsidP="00003D6E">
            <w:pPr>
              <w:spacing w:line="360" w:lineRule="auto"/>
              <w:rPr>
                <w:rFonts w:ascii="Arial" w:hAnsi="Arial" w:cs="Arial"/>
                <w:sz w:val="20"/>
                <w:szCs w:val="20"/>
              </w:rPr>
            </w:pPr>
            <w:r>
              <w:rPr>
                <w:rFonts w:ascii="Arial" w:hAnsi="Arial" w:cs="Arial"/>
                <w:sz w:val="20"/>
                <w:szCs w:val="20"/>
              </w:rPr>
              <w:t>5.5 (</w:t>
            </w:r>
            <w:proofErr w:type="gramStart"/>
            <w:r>
              <w:rPr>
                <w:rFonts w:ascii="Arial" w:hAnsi="Arial" w:cs="Arial"/>
                <w:sz w:val="20"/>
                <w:szCs w:val="20"/>
              </w:rPr>
              <w:t>2.8)*</w:t>
            </w:r>
            <w:proofErr w:type="gramEnd"/>
          </w:p>
        </w:tc>
      </w:tr>
      <w:tr w:rsidR="003B3BBB" w:rsidRPr="00946D77" w14:paraId="6914C47F" w14:textId="39C85207" w:rsidTr="003B3BBB">
        <w:tc>
          <w:tcPr>
            <w:tcW w:w="0" w:type="auto"/>
          </w:tcPr>
          <w:p w14:paraId="341928EB" w14:textId="07AAAA8B"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Non-metro area, change to metro area</w:t>
            </w:r>
          </w:p>
        </w:tc>
        <w:tc>
          <w:tcPr>
            <w:tcW w:w="0" w:type="auto"/>
          </w:tcPr>
          <w:p w14:paraId="44439949" w14:textId="1FDA9EC2" w:rsidR="003B3BBB" w:rsidRPr="008E1C7E" w:rsidRDefault="003B3BBB" w:rsidP="00003D6E">
            <w:pPr>
              <w:spacing w:line="360" w:lineRule="auto"/>
              <w:rPr>
                <w:rFonts w:ascii="Arial" w:hAnsi="Arial" w:cs="Arial"/>
                <w:sz w:val="20"/>
                <w:szCs w:val="20"/>
              </w:rPr>
            </w:pPr>
            <w:r>
              <w:rPr>
                <w:rFonts w:ascii="Arial" w:hAnsi="Arial" w:cs="Arial"/>
                <w:sz w:val="20"/>
                <w:szCs w:val="20"/>
              </w:rPr>
              <w:t>-10.2 (11.7)</w:t>
            </w:r>
          </w:p>
        </w:tc>
      </w:tr>
      <w:tr w:rsidR="003B3BBB" w:rsidRPr="00946D77" w14:paraId="16B87FDC" w14:textId="6E63C530" w:rsidTr="003B3BBB">
        <w:tc>
          <w:tcPr>
            <w:tcW w:w="0" w:type="auto"/>
          </w:tcPr>
          <w:p w14:paraId="48310399" w14:textId="54B1C6E4"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Population in poverty</w:t>
            </w:r>
          </w:p>
        </w:tc>
        <w:tc>
          <w:tcPr>
            <w:tcW w:w="0" w:type="auto"/>
          </w:tcPr>
          <w:p w14:paraId="1B63E7CA" w14:textId="541D71CB" w:rsidR="003B3BBB" w:rsidRPr="008E1C7E" w:rsidRDefault="003B3BBB" w:rsidP="00003D6E">
            <w:pPr>
              <w:spacing w:line="360" w:lineRule="auto"/>
              <w:rPr>
                <w:rFonts w:ascii="Arial" w:hAnsi="Arial" w:cs="Arial"/>
                <w:sz w:val="20"/>
                <w:szCs w:val="20"/>
              </w:rPr>
            </w:pPr>
            <w:r>
              <w:rPr>
                <w:rFonts w:ascii="Arial" w:hAnsi="Arial" w:cs="Arial"/>
                <w:sz w:val="20"/>
                <w:szCs w:val="20"/>
              </w:rPr>
              <w:t>-6.0 (5.3)</w:t>
            </w:r>
          </w:p>
        </w:tc>
      </w:tr>
      <w:tr w:rsidR="003B3BBB" w:rsidRPr="00946D77" w14:paraId="0CA7959A" w14:textId="78F86207" w:rsidTr="003B3BBB">
        <w:tc>
          <w:tcPr>
            <w:tcW w:w="0" w:type="auto"/>
          </w:tcPr>
          <w:p w14:paraId="49B48FA0" w14:textId="0BB4E9DD" w:rsidR="003B3BBB" w:rsidRPr="008E1C7E" w:rsidRDefault="003B3BBB" w:rsidP="00003D6E">
            <w:pPr>
              <w:spacing w:line="360" w:lineRule="auto"/>
              <w:rPr>
                <w:rFonts w:ascii="Arial" w:hAnsi="Arial" w:cs="Arial"/>
                <w:sz w:val="20"/>
                <w:szCs w:val="20"/>
              </w:rPr>
            </w:pPr>
            <w:r>
              <w:rPr>
                <w:rFonts w:ascii="Arial" w:hAnsi="Arial" w:cs="Arial"/>
                <w:sz w:val="20"/>
                <w:szCs w:val="20"/>
              </w:rPr>
              <w:t>Population with less than high school education</w:t>
            </w:r>
          </w:p>
        </w:tc>
        <w:tc>
          <w:tcPr>
            <w:tcW w:w="0" w:type="auto"/>
          </w:tcPr>
          <w:p w14:paraId="2EF6DC78" w14:textId="57C514E9" w:rsidR="003B3BBB" w:rsidRDefault="003B3BBB" w:rsidP="00003D6E">
            <w:pPr>
              <w:spacing w:line="360" w:lineRule="auto"/>
              <w:rPr>
                <w:rFonts w:ascii="Arial" w:hAnsi="Arial" w:cs="Arial"/>
                <w:sz w:val="20"/>
                <w:szCs w:val="20"/>
              </w:rPr>
            </w:pPr>
            <w:r>
              <w:rPr>
                <w:rFonts w:ascii="Arial" w:hAnsi="Arial" w:cs="Arial"/>
                <w:sz w:val="20"/>
                <w:szCs w:val="20"/>
              </w:rPr>
              <w:t>-41.7 (</w:t>
            </w:r>
            <w:proofErr w:type="gramStart"/>
            <w:r>
              <w:rPr>
                <w:rFonts w:ascii="Arial" w:hAnsi="Arial" w:cs="Arial"/>
                <w:sz w:val="20"/>
                <w:szCs w:val="20"/>
              </w:rPr>
              <w:t>6.1)*</w:t>
            </w:r>
            <w:proofErr w:type="gramEnd"/>
            <w:r>
              <w:rPr>
                <w:rFonts w:ascii="Arial" w:hAnsi="Arial" w:cs="Arial"/>
                <w:sz w:val="20"/>
                <w:szCs w:val="20"/>
              </w:rPr>
              <w:t>*</w:t>
            </w:r>
          </w:p>
        </w:tc>
      </w:tr>
      <w:tr w:rsidR="003B3BBB" w:rsidRPr="00946D77" w14:paraId="7A421D93" w14:textId="1846436B" w:rsidTr="003B3BBB">
        <w:tc>
          <w:tcPr>
            <w:tcW w:w="0" w:type="auto"/>
          </w:tcPr>
          <w:p w14:paraId="6A80C436" w14:textId="108CCA61"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Population Black</w:t>
            </w:r>
          </w:p>
        </w:tc>
        <w:tc>
          <w:tcPr>
            <w:tcW w:w="0" w:type="auto"/>
          </w:tcPr>
          <w:p w14:paraId="68F42A8D" w14:textId="2FD7257F" w:rsidR="003B3BBB" w:rsidRPr="008E1C7E" w:rsidRDefault="003B3BBB" w:rsidP="00003D6E">
            <w:pPr>
              <w:spacing w:line="360" w:lineRule="auto"/>
              <w:rPr>
                <w:rFonts w:ascii="Arial" w:hAnsi="Arial" w:cs="Arial"/>
                <w:sz w:val="20"/>
                <w:szCs w:val="20"/>
              </w:rPr>
            </w:pPr>
            <w:r>
              <w:rPr>
                <w:rFonts w:ascii="Arial" w:hAnsi="Arial" w:cs="Arial"/>
                <w:sz w:val="20"/>
                <w:szCs w:val="20"/>
              </w:rPr>
              <w:t>-57.4 (48.6)</w:t>
            </w:r>
          </w:p>
        </w:tc>
      </w:tr>
      <w:tr w:rsidR="003B3BBB" w:rsidRPr="00946D77" w14:paraId="340FDC94" w14:textId="244D8C6B" w:rsidTr="003B3BBB">
        <w:tc>
          <w:tcPr>
            <w:tcW w:w="0" w:type="auto"/>
          </w:tcPr>
          <w:p w14:paraId="6FE33D80" w14:textId="06443B0D"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Population Hispanic</w:t>
            </w:r>
          </w:p>
        </w:tc>
        <w:tc>
          <w:tcPr>
            <w:tcW w:w="0" w:type="auto"/>
          </w:tcPr>
          <w:p w14:paraId="7BBB3F0C" w14:textId="30280E8A" w:rsidR="003B3BBB" w:rsidRPr="008E1C7E" w:rsidRDefault="003B3BBB" w:rsidP="00003D6E">
            <w:pPr>
              <w:spacing w:line="360" w:lineRule="auto"/>
              <w:rPr>
                <w:rFonts w:ascii="Arial" w:hAnsi="Arial" w:cs="Arial"/>
                <w:sz w:val="20"/>
                <w:szCs w:val="20"/>
              </w:rPr>
            </w:pPr>
            <w:r>
              <w:rPr>
                <w:rFonts w:ascii="Arial" w:hAnsi="Arial" w:cs="Arial"/>
                <w:sz w:val="20"/>
                <w:szCs w:val="20"/>
              </w:rPr>
              <w:t>108.6 (</w:t>
            </w:r>
            <w:proofErr w:type="gramStart"/>
            <w:r>
              <w:rPr>
                <w:rFonts w:ascii="Arial" w:hAnsi="Arial" w:cs="Arial"/>
                <w:sz w:val="20"/>
                <w:szCs w:val="20"/>
              </w:rPr>
              <w:t>26.7)*</w:t>
            </w:r>
            <w:proofErr w:type="gramEnd"/>
            <w:r>
              <w:rPr>
                <w:rFonts w:ascii="Arial" w:hAnsi="Arial" w:cs="Arial"/>
                <w:sz w:val="20"/>
                <w:szCs w:val="20"/>
              </w:rPr>
              <w:t>*</w:t>
            </w:r>
          </w:p>
        </w:tc>
      </w:tr>
      <w:tr w:rsidR="003B3BBB" w:rsidRPr="00946D77" w14:paraId="0B06C359" w14:textId="72856864" w:rsidTr="003B3BBB">
        <w:tc>
          <w:tcPr>
            <w:tcW w:w="0" w:type="auto"/>
          </w:tcPr>
          <w:p w14:paraId="37A9DF83" w14:textId="66D6996D"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Unemployment rate</w:t>
            </w:r>
          </w:p>
        </w:tc>
        <w:tc>
          <w:tcPr>
            <w:tcW w:w="0" w:type="auto"/>
          </w:tcPr>
          <w:p w14:paraId="0AF06A0D" w14:textId="554BEBA1" w:rsidR="003B3BBB" w:rsidRPr="008E1C7E" w:rsidRDefault="003B3BBB" w:rsidP="00003D6E">
            <w:pPr>
              <w:spacing w:line="360" w:lineRule="auto"/>
              <w:rPr>
                <w:rFonts w:ascii="Arial" w:hAnsi="Arial" w:cs="Arial"/>
                <w:sz w:val="20"/>
                <w:szCs w:val="20"/>
              </w:rPr>
            </w:pPr>
            <w:r>
              <w:rPr>
                <w:rFonts w:ascii="Arial" w:hAnsi="Arial" w:cs="Arial"/>
                <w:sz w:val="20"/>
                <w:szCs w:val="20"/>
              </w:rPr>
              <w:t>3.9 (2.5)</w:t>
            </w:r>
          </w:p>
        </w:tc>
      </w:tr>
      <w:tr w:rsidR="003B3BBB" w:rsidRPr="00946D77" w14:paraId="0E783A80" w14:textId="02233E11" w:rsidTr="003B3BBB">
        <w:tc>
          <w:tcPr>
            <w:tcW w:w="0" w:type="auto"/>
          </w:tcPr>
          <w:p w14:paraId="4B28B138" w14:textId="6F375E4A"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Hospital beds per 10,000 population</w:t>
            </w:r>
          </w:p>
        </w:tc>
        <w:tc>
          <w:tcPr>
            <w:tcW w:w="0" w:type="auto"/>
          </w:tcPr>
          <w:p w14:paraId="7323979E" w14:textId="3D613D1D" w:rsidR="003B3BBB" w:rsidRPr="008E1C7E" w:rsidRDefault="003B3BBB" w:rsidP="00003D6E">
            <w:pPr>
              <w:spacing w:line="360" w:lineRule="auto"/>
              <w:rPr>
                <w:rFonts w:ascii="Arial" w:hAnsi="Arial" w:cs="Arial"/>
                <w:sz w:val="20"/>
                <w:szCs w:val="20"/>
              </w:rPr>
            </w:pPr>
            <w:r>
              <w:rPr>
                <w:rFonts w:ascii="Arial" w:hAnsi="Arial" w:cs="Arial"/>
                <w:sz w:val="20"/>
                <w:szCs w:val="20"/>
              </w:rPr>
              <w:t>-8.1 (</w:t>
            </w:r>
            <w:proofErr w:type="gramStart"/>
            <w:r>
              <w:rPr>
                <w:rFonts w:ascii="Arial" w:hAnsi="Arial" w:cs="Arial"/>
                <w:sz w:val="20"/>
                <w:szCs w:val="20"/>
              </w:rPr>
              <w:t>2.5)*</w:t>
            </w:r>
            <w:proofErr w:type="gramEnd"/>
            <w:r>
              <w:rPr>
                <w:rFonts w:ascii="Arial" w:hAnsi="Arial" w:cs="Arial"/>
                <w:sz w:val="20"/>
                <w:szCs w:val="20"/>
              </w:rPr>
              <w:t>*</w:t>
            </w:r>
          </w:p>
        </w:tc>
      </w:tr>
      <w:tr w:rsidR="003B3BBB" w:rsidRPr="00946D77" w14:paraId="76B556E4" w14:textId="27366C73" w:rsidTr="003B3BBB">
        <w:tc>
          <w:tcPr>
            <w:tcW w:w="0" w:type="auto"/>
          </w:tcPr>
          <w:p w14:paraId="36C3296E" w14:textId="0AD302C1"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Medicare enrollment</w:t>
            </w:r>
          </w:p>
        </w:tc>
        <w:tc>
          <w:tcPr>
            <w:tcW w:w="0" w:type="auto"/>
          </w:tcPr>
          <w:p w14:paraId="781928F7" w14:textId="4CE3AA4F" w:rsidR="003B3BBB" w:rsidRPr="008E1C7E" w:rsidRDefault="003B3BBB" w:rsidP="00003D6E">
            <w:pPr>
              <w:spacing w:line="360" w:lineRule="auto"/>
              <w:rPr>
                <w:rFonts w:ascii="Arial" w:hAnsi="Arial" w:cs="Arial"/>
                <w:sz w:val="20"/>
                <w:szCs w:val="20"/>
              </w:rPr>
            </w:pPr>
            <w:r>
              <w:rPr>
                <w:rFonts w:ascii="Arial" w:hAnsi="Arial" w:cs="Arial"/>
                <w:sz w:val="20"/>
                <w:szCs w:val="20"/>
              </w:rPr>
              <w:t>38.3 (</w:t>
            </w:r>
            <w:proofErr w:type="gramStart"/>
            <w:r>
              <w:rPr>
                <w:rFonts w:ascii="Arial" w:hAnsi="Arial" w:cs="Arial"/>
                <w:sz w:val="20"/>
                <w:szCs w:val="20"/>
              </w:rPr>
              <w:t>6.5)*</w:t>
            </w:r>
            <w:proofErr w:type="gramEnd"/>
            <w:r>
              <w:rPr>
                <w:rFonts w:ascii="Arial" w:hAnsi="Arial" w:cs="Arial"/>
                <w:sz w:val="20"/>
                <w:szCs w:val="20"/>
              </w:rPr>
              <w:t>*</w:t>
            </w:r>
          </w:p>
        </w:tc>
      </w:tr>
      <w:tr w:rsidR="003B3BBB" w:rsidRPr="00946D77" w14:paraId="089FE56B" w14:textId="72DB834A" w:rsidTr="003B3BBB">
        <w:tc>
          <w:tcPr>
            <w:tcW w:w="0" w:type="auto"/>
          </w:tcPr>
          <w:p w14:paraId="0E0026C0" w14:textId="08E7C6FC"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Per capita medical costs</w:t>
            </w:r>
          </w:p>
        </w:tc>
        <w:tc>
          <w:tcPr>
            <w:tcW w:w="0" w:type="auto"/>
          </w:tcPr>
          <w:p w14:paraId="36DB4760" w14:textId="1CC3D550" w:rsidR="003B3BBB" w:rsidRPr="008E1C7E" w:rsidRDefault="003B3BBB" w:rsidP="00003D6E">
            <w:pPr>
              <w:spacing w:line="360" w:lineRule="auto"/>
              <w:rPr>
                <w:rFonts w:ascii="Arial" w:hAnsi="Arial" w:cs="Arial"/>
                <w:sz w:val="20"/>
                <w:szCs w:val="20"/>
              </w:rPr>
            </w:pPr>
            <w:r>
              <w:rPr>
                <w:rFonts w:ascii="Arial" w:hAnsi="Arial" w:cs="Arial"/>
                <w:sz w:val="20"/>
                <w:szCs w:val="20"/>
              </w:rPr>
              <w:t>4.7 (2.8)</w:t>
            </w:r>
          </w:p>
        </w:tc>
      </w:tr>
      <w:tr w:rsidR="003B3BBB" w:rsidRPr="00946D77" w14:paraId="29E79661" w14:textId="007C5D0E" w:rsidTr="003B3BBB">
        <w:tc>
          <w:tcPr>
            <w:tcW w:w="0" w:type="auto"/>
          </w:tcPr>
          <w:p w14:paraId="22EFA41F" w14:textId="40B6C11B"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Adult tobacco smoking</w:t>
            </w:r>
          </w:p>
        </w:tc>
        <w:tc>
          <w:tcPr>
            <w:tcW w:w="0" w:type="auto"/>
          </w:tcPr>
          <w:p w14:paraId="5E77FAE6" w14:textId="5C7FFA03" w:rsidR="003B3BBB" w:rsidRPr="008E1C7E" w:rsidRDefault="003B3BBB" w:rsidP="00003D6E">
            <w:pPr>
              <w:spacing w:line="360" w:lineRule="auto"/>
              <w:rPr>
                <w:rFonts w:ascii="Arial" w:hAnsi="Arial" w:cs="Arial"/>
                <w:sz w:val="20"/>
                <w:szCs w:val="20"/>
              </w:rPr>
            </w:pPr>
            <w:r>
              <w:rPr>
                <w:rFonts w:ascii="Arial" w:hAnsi="Arial" w:cs="Arial"/>
                <w:sz w:val="20"/>
                <w:szCs w:val="20"/>
              </w:rPr>
              <w:t>-20.3 (</w:t>
            </w:r>
            <w:proofErr w:type="gramStart"/>
            <w:r>
              <w:rPr>
                <w:rFonts w:ascii="Arial" w:hAnsi="Arial" w:cs="Arial"/>
                <w:sz w:val="20"/>
                <w:szCs w:val="20"/>
              </w:rPr>
              <w:t>2.7)*</w:t>
            </w:r>
            <w:proofErr w:type="gramEnd"/>
            <w:r>
              <w:rPr>
                <w:rFonts w:ascii="Arial" w:hAnsi="Arial" w:cs="Arial"/>
                <w:sz w:val="20"/>
                <w:szCs w:val="20"/>
              </w:rPr>
              <w:t>*</w:t>
            </w:r>
          </w:p>
        </w:tc>
      </w:tr>
      <w:tr w:rsidR="003B3BBB" w:rsidRPr="00946D77" w14:paraId="3BB780E3" w14:textId="368BAD53" w:rsidTr="003B3BBB">
        <w:tc>
          <w:tcPr>
            <w:tcW w:w="0" w:type="auto"/>
          </w:tcPr>
          <w:p w14:paraId="2A9DF27A" w14:textId="0309DB76"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Adult obesity</w:t>
            </w:r>
          </w:p>
        </w:tc>
        <w:tc>
          <w:tcPr>
            <w:tcW w:w="0" w:type="auto"/>
          </w:tcPr>
          <w:p w14:paraId="086BF2EA" w14:textId="75C68399" w:rsidR="003B3BBB" w:rsidRPr="008E1C7E" w:rsidRDefault="003B3BBB" w:rsidP="00003D6E">
            <w:pPr>
              <w:spacing w:line="360" w:lineRule="auto"/>
              <w:rPr>
                <w:rFonts w:ascii="Arial" w:hAnsi="Arial" w:cs="Arial"/>
                <w:sz w:val="20"/>
                <w:szCs w:val="20"/>
              </w:rPr>
            </w:pPr>
            <w:r>
              <w:rPr>
                <w:rFonts w:ascii="Arial" w:hAnsi="Arial" w:cs="Arial"/>
                <w:sz w:val="20"/>
                <w:szCs w:val="20"/>
              </w:rPr>
              <w:t>-14.3 (</w:t>
            </w:r>
            <w:proofErr w:type="gramStart"/>
            <w:r>
              <w:rPr>
                <w:rFonts w:ascii="Arial" w:hAnsi="Arial" w:cs="Arial"/>
                <w:sz w:val="20"/>
                <w:szCs w:val="20"/>
              </w:rPr>
              <w:t>2.2)*</w:t>
            </w:r>
            <w:proofErr w:type="gramEnd"/>
            <w:r>
              <w:rPr>
                <w:rFonts w:ascii="Arial" w:hAnsi="Arial" w:cs="Arial"/>
                <w:sz w:val="20"/>
                <w:szCs w:val="20"/>
              </w:rPr>
              <w:t>*</w:t>
            </w:r>
          </w:p>
        </w:tc>
      </w:tr>
      <w:tr w:rsidR="003B3BBB" w:rsidRPr="00946D77" w14:paraId="42AA3BC9" w14:textId="370719B1" w:rsidTr="003B3BBB">
        <w:tc>
          <w:tcPr>
            <w:tcW w:w="0" w:type="auto"/>
          </w:tcPr>
          <w:p w14:paraId="470E66ED" w14:textId="7866222A"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High ozone days</w:t>
            </w:r>
          </w:p>
        </w:tc>
        <w:tc>
          <w:tcPr>
            <w:tcW w:w="0" w:type="auto"/>
          </w:tcPr>
          <w:p w14:paraId="0E8F6A4B" w14:textId="7BC6CDCC" w:rsidR="003B3BBB" w:rsidRPr="008E1C7E" w:rsidRDefault="003B3BBB" w:rsidP="00003D6E">
            <w:pPr>
              <w:spacing w:line="360" w:lineRule="auto"/>
              <w:rPr>
                <w:rFonts w:ascii="Arial" w:hAnsi="Arial" w:cs="Arial"/>
                <w:sz w:val="20"/>
                <w:szCs w:val="20"/>
              </w:rPr>
            </w:pPr>
            <w:r>
              <w:rPr>
                <w:rFonts w:ascii="Arial" w:hAnsi="Arial" w:cs="Arial"/>
                <w:sz w:val="20"/>
                <w:szCs w:val="20"/>
              </w:rPr>
              <w:t>-8.6 (</w:t>
            </w:r>
            <w:proofErr w:type="gramStart"/>
            <w:r>
              <w:rPr>
                <w:rFonts w:ascii="Arial" w:hAnsi="Arial" w:cs="Arial"/>
                <w:sz w:val="20"/>
                <w:szCs w:val="20"/>
              </w:rPr>
              <w:t>2.2)*</w:t>
            </w:r>
            <w:proofErr w:type="gramEnd"/>
            <w:r>
              <w:rPr>
                <w:rFonts w:ascii="Arial" w:hAnsi="Arial" w:cs="Arial"/>
                <w:sz w:val="20"/>
                <w:szCs w:val="20"/>
              </w:rPr>
              <w:t>*</w:t>
            </w:r>
          </w:p>
        </w:tc>
      </w:tr>
      <w:tr w:rsidR="003B3BBB" w:rsidRPr="00946D77" w14:paraId="6EE9F605" w14:textId="67E74BEC" w:rsidTr="003B3BBB">
        <w:tc>
          <w:tcPr>
            <w:tcW w:w="0" w:type="auto"/>
          </w:tcPr>
          <w:p w14:paraId="4EBF53CF" w14:textId="5D3C0C44" w:rsidR="003B3BBB" w:rsidRPr="008E1C7E" w:rsidRDefault="003B3BBB" w:rsidP="00003D6E">
            <w:pPr>
              <w:spacing w:line="360" w:lineRule="auto"/>
              <w:rPr>
                <w:rFonts w:ascii="Arial" w:hAnsi="Arial" w:cs="Arial"/>
                <w:sz w:val="20"/>
                <w:szCs w:val="20"/>
              </w:rPr>
            </w:pPr>
            <w:r w:rsidRPr="008E1C7E">
              <w:rPr>
                <w:rFonts w:ascii="Arial" w:hAnsi="Arial" w:cs="Arial"/>
                <w:sz w:val="20"/>
                <w:szCs w:val="20"/>
              </w:rPr>
              <w:t>Non-primary-care specialized physicians per 10,000 population</w:t>
            </w:r>
          </w:p>
        </w:tc>
        <w:tc>
          <w:tcPr>
            <w:tcW w:w="0" w:type="auto"/>
          </w:tcPr>
          <w:p w14:paraId="1CFF1CE5" w14:textId="52934D8E" w:rsidR="003B3BBB" w:rsidRPr="008E1C7E" w:rsidRDefault="003B3BBB" w:rsidP="00003D6E">
            <w:pPr>
              <w:spacing w:line="360" w:lineRule="auto"/>
              <w:rPr>
                <w:rFonts w:ascii="Arial" w:hAnsi="Arial" w:cs="Arial"/>
                <w:sz w:val="20"/>
                <w:szCs w:val="20"/>
              </w:rPr>
            </w:pPr>
            <w:r>
              <w:rPr>
                <w:rFonts w:ascii="Arial" w:hAnsi="Arial" w:cs="Arial"/>
                <w:sz w:val="20"/>
                <w:szCs w:val="20"/>
              </w:rPr>
              <w:t>41.7 (</w:t>
            </w:r>
            <w:proofErr w:type="gramStart"/>
            <w:r>
              <w:rPr>
                <w:rFonts w:ascii="Arial" w:hAnsi="Arial" w:cs="Arial"/>
                <w:sz w:val="20"/>
                <w:szCs w:val="20"/>
              </w:rPr>
              <w:t>10.3)*</w:t>
            </w:r>
            <w:proofErr w:type="gramEnd"/>
            <w:r>
              <w:rPr>
                <w:rFonts w:ascii="Arial" w:hAnsi="Arial" w:cs="Arial"/>
                <w:sz w:val="20"/>
                <w:szCs w:val="20"/>
              </w:rPr>
              <w:t>*</w:t>
            </w:r>
          </w:p>
        </w:tc>
      </w:tr>
    </w:tbl>
    <w:p w14:paraId="5B321965" w14:textId="77777777" w:rsidR="007C73EC" w:rsidRDefault="00E8336D" w:rsidP="00EB1580">
      <w:pPr>
        <w:spacing w:line="360" w:lineRule="auto"/>
        <w:rPr>
          <w:rFonts w:ascii="Times New Roman" w:hAnsi="Times New Roman"/>
        </w:rPr>
        <w:sectPr w:rsidR="007C73EC" w:rsidSect="007C73EC">
          <w:pgSz w:w="15840" w:h="12240" w:orient="landscape"/>
          <w:pgMar w:top="1800" w:right="1440" w:bottom="1800" w:left="1440" w:header="720" w:footer="720" w:gutter="0"/>
          <w:lnNumType w:countBy="1" w:restart="continuous"/>
          <w:cols w:space="720"/>
          <w:docGrid w:linePitch="360"/>
        </w:sectPr>
      </w:pPr>
      <w:r>
        <w:rPr>
          <w:rFonts w:ascii="Times New Roman" w:hAnsi="Times New Roman"/>
        </w:rPr>
        <w:t>*P&lt;0.05; **P&lt;0.01</w:t>
      </w:r>
    </w:p>
    <w:p w14:paraId="32AC50AF" w14:textId="1B528E32" w:rsidR="00EB1580" w:rsidRDefault="00EB1580" w:rsidP="00EB1580">
      <w:pPr>
        <w:spacing w:line="360" w:lineRule="auto"/>
        <w:rPr>
          <w:rFonts w:ascii="Times New Roman" w:hAnsi="Times New Roman"/>
        </w:rPr>
      </w:pPr>
      <w:r w:rsidRPr="004C2EB7">
        <w:rPr>
          <w:rFonts w:ascii="Times New Roman" w:hAnsi="Times New Roman"/>
          <w:u w:val="single"/>
        </w:rPr>
        <w:lastRenderedPageBreak/>
        <w:t>Figure 1:</w:t>
      </w:r>
      <w:r w:rsidRPr="004C2EB7">
        <w:rPr>
          <w:rFonts w:ascii="Times New Roman" w:hAnsi="Times New Roman"/>
        </w:rPr>
        <w:t xml:space="preserve"> </w:t>
      </w:r>
      <w:r w:rsidR="00BB2653">
        <w:rPr>
          <w:rFonts w:ascii="Times New Roman" w:hAnsi="Times New Roman"/>
        </w:rPr>
        <w:t xml:space="preserve">Changes in primary care physician density </w:t>
      </w:r>
      <w:r w:rsidR="00FA0013">
        <w:rPr>
          <w:rFonts w:ascii="Times New Roman" w:hAnsi="Times New Roman"/>
        </w:rPr>
        <w:t>among</w:t>
      </w:r>
      <w:r w:rsidR="00BB2653">
        <w:rPr>
          <w:rFonts w:ascii="Times New Roman" w:hAnsi="Times New Roman"/>
        </w:rPr>
        <w:t xml:space="preserve"> US counties</w:t>
      </w:r>
      <w:r w:rsidR="0062754A">
        <w:rPr>
          <w:rFonts w:ascii="Times New Roman" w:hAnsi="Times New Roman"/>
        </w:rPr>
        <w:t xml:space="preserve"> (N=3,142 U.S. counties),</w:t>
      </w:r>
      <w:r w:rsidR="00BB2653">
        <w:rPr>
          <w:rFonts w:ascii="Times New Roman" w:hAnsi="Times New Roman"/>
        </w:rPr>
        <w:t xml:space="preserve"> </w:t>
      </w:r>
      <w:r w:rsidR="0062754A">
        <w:rPr>
          <w:rFonts w:ascii="Times New Roman" w:hAnsi="Times New Roman"/>
        </w:rPr>
        <w:t>2005-</w:t>
      </w:r>
      <w:r w:rsidR="00BB2653">
        <w:rPr>
          <w:rFonts w:ascii="Times New Roman" w:hAnsi="Times New Roman"/>
        </w:rPr>
        <w:t xml:space="preserve">2015. </w:t>
      </w:r>
    </w:p>
    <w:p w14:paraId="343D5B9D" w14:textId="77777777" w:rsidR="002308B0" w:rsidRDefault="002308B0" w:rsidP="00EB1580">
      <w:pPr>
        <w:spacing w:line="360" w:lineRule="auto"/>
        <w:rPr>
          <w:rFonts w:ascii="Times New Roman" w:hAnsi="Times New Roman"/>
        </w:rPr>
      </w:pPr>
    </w:p>
    <w:p w14:paraId="4B5C3E3C" w14:textId="77777777" w:rsidR="002308B0" w:rsidRPr="004C2EB7" w:rsidRDefault="002308B0" w:rsidP="00EB1580">
      <w:pPr>
        <w:spacing w:line="360" w:lineRule="auto"/>
        <w:rPr>
          <w:rFonts w:ascii="Times New Roman" w:hAnsi="Times New Roman"/>
        </w:rPr>
      </w:pPr>
      <w:bookmarkStart w:id="4" w:name="_GoBack"/>
      <w:bookmarkEnd w:id="4"/>
    </w:p>
    <w:p w14:paraId="72289175" w14:textId="30DE1841" w:rsidR="00EB1580" w:rsidRDefault="0083200D" w:rsidP="00EB1580">
      <w:pPr>
        <w:spacing w:line="360" w:lineRule="auto"/>
        <w:rPr>
          <w:rFonts w:ascii="Times New Roman" w:hAnsi="Times New Roman"/>
        </w:rPr>
      </w:pPr>
      <w:r>
        <w:rPr>
          <w:rFonts w:ascii="Times New Roman" w:hAnsi="Times New Roman"/>
        </w:rPr>
        <w:br w:type="column"/>
      </w:r>
      <w:r w:rsidR="00EB1580" w:rsidRPr="004C2EB7">
        <w:rPr>
          <w:rFonts w:ascii="Times New Roman" w:hAnsi="Times New Roman"/>
          <w:u w:val="single"/>
        </w:rPr>
        <w:lastRenderedPageBreak/>
        <w:t>Figure 2:</w:t>
      </w:r>
      <w:r w:rsidR="00EB1580" w:rsidRPr="004C2EB7">
        <w:rPr>
          <w:rFonts w:ascii="Times New Roman" w:hAnsi="Times New Roman"/>
        </w:rPr>
        <w:t xml:space="preserve"> </w:t>
      </w:r>
      <w:r w:rsidR="00460A48">
        <w:rPr>
          <w:rFonts w:ascii="Times New Roman" w:hAnsi="Times New Roman"/>
        </w:rPr>
        <w:t xml:space="preserve">Changes in primary care physician density by county-level </w:t>
      </w:r>
      <w:r w:rsidR="00721982">
        <w:rPr>
          <w:rFonts w:ascii="Times New Roman" w:hAnsi="Times New Roman"/>
        </w:rPr>
        <w:t>features</w:t>
      </w:r>
      <w:r w:rsidR="0062754A">
        <w:rPr>
          <w:rFonts w:ascii="Times New Roman" w:hAnsi="Times New Roman"/>
        </w:rPr>
        <w:t xml:space="preserve"> (N=3,142 U.S. counties), 2005-</w:t>
      </w:r>
      <w:r w:rsidR="00460A48">
        <w:rPr>
          <w:rFonts w:ascii="Times New Roman" w:hAnsi="Times New Roman"/>
        </w:rPr>
        <w:t>2015.</w:t>
      </w:r>
    </w:p>
    <w:p w14:paraId="082BD431" w14:textId="4BFC104C" w:rsidR="00460A48" w:rsidRDefault="00B33BF0" w:rsidP="00EB1580">
      <w:pPr>
        <w:spacing w:line="360" w:lineRule="auto"/>
        <w:rPr>
          <w:rFonts w:ascii="Times New Roman" w:hAnsi="Times New Roman"/>
        </w:rPr>
      </w:pPr>
      <w:r>
        <w:rPr>
          <w:rFonts w:ascii="Times New Roman" w:hAnsi="Times New Roman"/>
        </w:rPr>
        <w:t>[forest plot]</w:t>
      </w:r>
    </w:p>
    <w:p w14:paraId="0822C198" w14:textId="582C41AD" w:rsidR="00D00ED3" w:rsidRDefault="00D00ED3" w:rsidP="00D00ED3">
      <w:pPr>
        <w:spacing w:line="360" w:lineRule="auto"/>
        <w:rPr>
          <w:rFonts w:ascii="Times New Roman" w:hAnsi="Times New Roman"/>
        </w:rPr>
      </w:pPr>
      <w:r>
        <w:rPr>
          <w:rFonts w:ascii="Times New Roman" w:hAnsi="Times New Roman"/>
        </w:rPr>
        <w:br w:type="column"/>
      </w:r>
      <w:r w:rsidRPr="004C2EB7">
        <w:rPr>
          <w:rFonts w:ascii="Times New Roman" w:hAnsi="Times New Roman"/>
          <w:u w:val="single"/>
        </w:rPr>
        <w:lastRenderedPageBreak/>
        <w:t xml:space="preserve">Figure </w:t>
      </w:r>
      <w:r>
        <w:rPr>
          <w:rFonts w:ascii="Times New Roman" w:hAnsi="Times New Roman"/>
          <w:u w:val="single"/>
        </w:rPr>
        <w:t>3</w:t>
      </w:r>
      <w:r w:rsidRPr="004C2EB7">
        <w:rPr>
          <w:rFonts w:ascii="Times New Roman" w:hAnsi="Times New Roman"/>
          <w:u w:val="single"/>
        </w:rPr>
        <w:t>:</w:t>
      </w:r>
      <w:r w:rsidRPr="004C2EB7">
        <w:rPr>
          <w:rFonts w:ascii="Times New Roman" w:hAnsi="Times New Roman"/>
        </w:rPr>
        <w:t xml:space="preserve"> </w:t>
      </w:r>
      <w:r>
        <w:rPr>
          <w:rFonts w:ascii="Times New Roman" w:hAnsi="Times New Roman"/>
        </w:rPr>
        <w:t xml:space="preserve">Changes in cause-specific mortality associated with </w:t>
      </w:r>
      <w:r w:rsidR="005F51F5">
        <w:rPr>
          <w:rFonts w:ascii="Times New Roman" w:hAnsi="Times New Roman"/>
        </w:rPr>
        <w:t>an</w:t>
      </w:r>
      <w:r>
        <w:rPr>
          <w:rFonts w:ascii="Times New Roman" w:hAnsi="Times New Roman"/>
        </w:rPr>
        <w:t xml:space="preserve"> increase </w:t>
      </w:r>
      <w:r w:rsidR="005F51F5">
        <w:rPr>
          <w:rFonts w:ascii="Times New Roman" w:hAnsi="Times New Roman"/>
        </w:rPr>
        <w:t>of 1</w:t>
      </w:r>
      <w:r>
        <w:rPr>
          <w:rFonts w:ascii="Times New Roman" w:hAnsi="Times New Roman"/>
        </w:rPr>
        <w:t xml:space="preserve"> primary care physician </w:t>
      </w:r>
      <w:r w:rsidR="005F51F5">
        <w:rPr>
          <w:rFonts w:ascii="Times New Roman" w:hAnsi="Times New Roman"/>
        </w:rPr>
        <w:t xml:space="preserve">per 10,000 population </w:t>
      </w:r>
      <w:r>
        <w:rPr>
          <w:rFonts w:ascii="Times New Roman" w:hAnsi="Times New Roman"/>
        </w:rPr>
        <w:t xml:space="preserve">and </w:t>
      </w:r>
      <w:r w:rsidR="000A5F5D">
        <w:rPr>
          <w:rFonts w:ascii="Times New Roman" w:hAnsi="Times New Roman"/>
        </w:rPr>
        <w:t xml:space="preserve">1 </w:t>
      </w:r>
      <w:r>
        <w:rPr>
          <w:rFonts w:ascii="Times New Roman" w:hAnsi="Times New Roman"/>
        </w:rPr>
        <w:t xml:space="preserve">non-primary-care physician </w:t>
      </w:r>
      <w:r w:rsidR="005F51F5">
        <w:rPr>
          <w:rFonts w:ascii="Times New Roman" w:hAnsi="Times New Roman"/>
        </w:rPr>
        <w:t xml:space="preserve">per 10,000 population </w:t>
      </w:r>
      <w:r w:rsidR="00297A3C">
        <w:rPr>
          <w:rFonts w:ascii="Times New Roman" w:hAnsi="Times New Roman"/>
        </w:rPr>
        <w:t xml:space="preserve">among </w:t>
      </w:r>
      <w:r>
        <w:rPr>
          <w:rFonts w:ascii="Times New Roman" w:hAnsi="Times New Roman"/>
        </w:rPr>
        <w:t>N=3,142</w:t>
      </w:r>
      <w:r w:rsidR="00297A3C">
        <w:rPr>
          <w:rFonts w:ascii="Times New Roman" w:hAnsi="Times New Roman"/>
        </w:rPr>
        <w:t xml:space="preserve"> U.S. counties</w:t>
      </w:r>
      <w:r>
        <w:rPr>
          <w:rFonts w:ascii="Times New Roman" w:hAnsi="Times New Roman"/>
        </w:rPr>
        <w:t xml:space="preserve">, 2005-2015. </w:t>
      </w:r>
    </w:p>
    <w:p w14:paraId="0B9A1145" w14:textId="301DAC16" w:rsidR="00262CF2" w:rsidRDefault="00262CF2" w:rsidP="00D00ED3">
      <w:pPr>
        <w:spacing w:line="360" w:lineRule="auto"/>
        <w:rPr>
          <w:rFonts w:ascii="Times New Roman" w:hAnsi="Times New Roman"/>
        </w:rPr>
      </w:pPr>
    </w:p>
    <w:p w14:paraId="1877E51F" w14:textId="77777777" w:rsidR="00B44092" w:rsidRDefault="00D00ED3" w:rsidP="00D00ED3">
      <w:pPr>
        <w:spacing w:line="360" w:lineRule="auto"/>
        <w:rPr>
          <w:rFonts w:ascii="Times New Roman" w:hAnsi="Times New Roman"/>
        </w:rPr>
      </w:pPr>
      <w:r>
        <w:rPr>
          <w:rFonts w:ascii="Times New Roman" w:hAnsi="Times New Roman"/>
        </w:rPr>
        <w:t>[forest plot</w:t>
      </w:r>
      <w:r w:rsidR="00B44092">
        <w:rPr>
          <w:rFonts w:ascii="Times New Roman" w:hAnsi="Times New Roman"/>
        </w:rPr>
        <w:t>:</w:t>
      </w:r>
    </w:p>
    <w:p w14:paraId="70F365A3" w14:textId="6E566018" w:rsidR="00B44092" w:rsidRDefault="00B44092" w:rsidP="00D00ED3">
      <w:pPr>
        <w:spacing w:line="360" w:lineRule="auto"/>
        <w:rPr>
          <w:rFonts w:ascii="Times New Roman" w:hAnsi="Times New Roman"/>
        </w:rPr>
      </w:pPr>
      <w:r>
        <w:rPr>
          <w:rFonts w:ascii="Times New Roman" w:hAnsi="Times New Roman"/>
        </w:rPr>
        <w:t>Cause</w:t>
      </w:r>
    </w:p>
    <w:p w14:paraId="30A60ED1" w14:textId="77777777" w:rsidR="00B44092" w:rsidRDefault="00B44092" w:rsidP="00B44092">
      <w:pPr>
        <w:spacing w:line="360" w:lineRule="auto"/>
        <w:ind w:firstLine="720"/>
        <w:rPr>
          <w:rFonts w:ascii="Times New Roman" w:hAnsi="Times New Roman"/>
        </w:rPr>
      </w:pPr>
      <w:r>
        <w:rPr>
          <w:rFonts w:ascii="Times New Roman" w:hAnsi="Times New Roman"/>
        </w:rPr>
        <w:t>PC</w:t>
      </w:r>
    </w:p>
    <w:p w14:paraId="3D5EADEB" w14:textId="77777777" w:rsidR="00B44092" w:rsidRDefault="00B44092" w:rsidP="00B44092">
      <w:pPr>
        <w:spacing w:line="360" w:lineRule="auto"/>
        <w:ind w:left="720"/>
        <w:rPr>
          <w:rFonts w:ascii="Times New Roman" w:hAnsi="Times New Roman"/>
        </w:rPr>
      </w:pPr>
      <w:r>
        <w:rPr>
          <w:rFonts w:ascii="Times New Roman" w:hAnsi="Times New Roman"/>
        </w:rPr>
        <w:t>Non-PC</w:t>
      </w:r>
    </w:p>
    <w:p w14:paraId="59BBCA02" w14:textId="77777777" w:rsidR="00FB60C0" w:rsidRDefault="00FB60C0" w:rsidP="00B44092">
      <w:pPr>
        <w:spacing w:line="360" w:lineRule="auto"/>
        <w:ind w:left="720"/>
        <w:rPr>
          <w:rFonts w:ascii="Times New Roman" w:hAnsi="Times New Roman"/>
        </w:rPr>
      </w:pPr>
    </w:p>
    <w:p w14:paraId="034253F1" w14:textId="4E62723E" w:rsidR="00FB60C0" w:rsidRDefault="00FB60C0" w:rsidP="00FB60C0">
      <w:pPr>
        <w:spacing w:line="360" w:lineRule="auto"/>
        <w:rPr>
          <w:rFonts w:ascii="Times New Roman" w:hAnsi="Times New Roman"/>
        </w:rPr>
      </w:pPr>
      <w:r>
        <w:rPr>
          <w:rFonts w:ascii="Times New Roman" w:hAnsi="Times New Roman"/>
        </w:rPr>
        <w:t>Falsification tests</w:t>
      </w:r>
    </w:p>
    <w:p w14:paraId="38698BEE" w14:textId="7442EF01" w:rsidR="00D00ED3" w:rsidRDefault="00D00ED3" w:rsidP="00B44092">
      <w:pPr>
        <w:spacing w:line="360" w:lineRule="auto"/>
        <w:rPr>
          <w:rFonts w:ascii="Times New Roman" w:hAnsi="Times New Roman"/>
        </w:rPr>
      </w:pPr>
      <w:r>
        <w:rPr>
          <w:rFonts w:ascii="Times New Roman" w:hAnsi="Times New Roman"/>
        </w:rPr>
        <w:t>]</w:t>
      </w:r>
      <w:r w:rsidR="00262CF2">
        <w:rPr>
          <w:rFonts w:ascii="Times New Roman" w:hAnsi="Times New Roman"/>
        </w:rPr>
        <w:t xml:space="preserve"> </w:t>
      </w:r>
    </w:p>
    <w:p w14:paraId="269EC797" w14:textId="4B985014" w:rsidR="00E92842" w:rsidRPr="004C2EB7" w:rsidRDefault="00E92842" w:rsidP="00EB1580">
      <w:pPr>
        <w:spacing w:line="360" w:lineRule="auto"/>
        <w:rPr>
          <w:rFonts w:ascii="Times New Roman" w:hAnsi="Times New Roman"/>
        </w:rPr>
      </w:pPr>
    </w:p>
    <w:p w14:paraId="63C3C5E6" w14:textId="55D6938D" w:rsidR="00674F9A" w:rsidRPr="00674F9A" w:rsidRDefault="00674F9A" w:rsidP="00674F9A">
      <w:pPr>
        <w:spacing w:line="360" w:lineRule="auto"/>
        <w:jc w:val="center"/>
        <w:rPr>
          <w:rFonts w:ascii="Times New Roman" w:hAnsi="Times New Roman"/>
          <w:b/>
        </w:rPr>
      </w:pPr>
      <w:r>
        <w:rPr>
          <w:rFonts w:ascii="Times New Roman" w:hAnsi="Times New Roman"/>
        </w:rPr>
        <w:br w:type="column"/>
      </w:r>
      <w:r w:rsidRPr="00674F9A">
        <w:rPr>
          <w:rFonts w:ascii="Times New Roman" w:hAnsi="Times New Roman"/>
          <w:b/>
        </w:rPr>
        <w:lastRenderedPageBreak/>
        <w:t>Appendix</w:t>
      </w:r>
    </w:p>
    <w:p w14:paraId="6694E85A" w14:textId="77777777" w:rsidR="00674F9A" w:rsidRDefault="00674F9A" w:rsidP="00674F9A">
      <w:pPr>
        <w:spacing w:line="360" w:lineRule="auto"/>
        <w:rPr>
          <w:rFonts w:ascii="Times New Roman" w:hAnsi="Times New Roman"/>
        </w:rPr>
      </w:pPr>
    </w:p>
    <w:p w14:paraId="3ADEE3D7" w14:textId="77777777" w:rsidR="007C73EC" w:rsidRDefault="007C73EC" w:rsidP="00674F9A">
      <w:pPr>
        <w:spacing w:line="360" w:lineRule="auto"/>
        <w:rPr>
          <w:rFonts w:ascii="Times New Roman" w:hAnsi="Times New Roman"/>
          <w:u w:val="single"/>
        </w:rPr>
        <w:sectPr w:rsidR="007C73EC" w:rsidSect="00D634E0">
          <w:pgSz w:w="12240" w:h="15840"/>
          <w:pgMar w:top="1440" w:right="1800" w:bottom="1440" w:left="1800" w:header="720" w:footer="720" w:gutter="0"/>
          <w:lnNumType w:countBy="1" w:restart="continuous"/>
          <w:cols w:space="720"/>
          <w:docGrid w:linePitch="360"/>
        </w:sectPr>
      </w:pPr>
    </w:p>
    <w:p w14:paraId="4F43BF56" w14:textId="74876715" w:rsidR="00674F9A" w:rsidRPr="00BB2653" w:rsidRDefault="00674F9A" w:rsidP="00674F9A">
      <w:pPr>
        <w:spacing w:line="360" w:lineRule="auto"/>
        <w:rPr>
          <w:rFonts w:ascii="Times New Roman" w:hAnsi="Times New Roman"/>
        </w:rPr>
      </w:pPr>
      <w:r>
        <w:rPr>
          <w:rFonts w:ascii="Times New Roman" w:hAnsi="Times New Roman"/>
          <w:u w:val="single"/>
        </w:rPr>
        <w:lastRenderedPageBreak/>
        <w:t xml:space="preserve">Appendix </w:t>
      </w:r>
      <w:r w:rsidR="00775153">
        <w:rPr>
          <w:rFonts w:ascii="Times New Roman" w:hAnsi="Times New Roman"/>
          <w:u w:val="single"/>
        </w:rPr>
        <w:t>Figure</w:t>
      </w:r>
      <w:r>
        <w:rPr>
          <w:rFonts w:ascii="Times New Roman" w:hAnsi="Times New Roman"/>
          <w:u w:val="single"/>
        </w:rPr>
        <w:t xml:space="preserve"> 1:</w:t>
      </w:r>
      <w:r>
        <w:rPr>
          <w:rFonts w:ascii="Times New Roman" w:hAnsi="Times New Roman"/>
        </w:rPr>
        <w:t xml:space="preserve"> </w:t>
      </w:r>
      <w:r w:rsidR="0083200D">
        <w:rPr>
          <w:rFonts w:ascii="Times New Roman" w:hAnsi="Times New Roman"/>
        </w:rPr>
        <w:t>Robustness checks</w:t>
      </w:r>
      <w:r w:rsidR="002F6397">
        <w:rPr>
          <w:rFonts w:ascii="Times New Roman" w:hAnsi="Times New Roman"/>
        </w:rPr>
        <w:t>.</w:t>
      </w:r>
      <w:r>
        <w:rPr>
          <w:rFonts w:ascii="Times New Roman" w:hAnsi="Times New Roman"/>
        </w:rPr>
        <w:t xml:space="preserve"> Results of first-differences regressions relating primary care physician density and county-level covariates to county-level life expectancy at birth and cause-specific mortality</w:t>
      </w:r>
      <w:r w:rsidR="0083200D">
        <w:rPr>
          <w:rFonts w:ascii="Times New Roman" w:hAnsi="Times New Roman"/>
        </w:rPr>
        <w:t xml:space="preserve"> (N=3,142 U.S. counties)</w:t>
      </w:r>
      <w:r>
        <w:rPr>
          <w:rFonts w:ascii="Times New Roman" w:hAnsi="Times New Roman"/>
        </w:rPr>
        <w:t>, 2005-2015</w:t>
      </w:r>
      <w:r w:rsidR="00DE04C2">
        <w:rPr>
          <w:rFonts w:ascii="Times New Roman" w:hAnsi="Times New Roman"/>
        </w:rPr>
        <w:t>.</w:t>
      </w:r>
    </w:p>
    <w:tbl>
      <w:tblPr>
        <w:tblStyle w:val="TableGrid"/>
        <w:tblW w:w="13777" w:type="dxa"/>
        <w:tblLook w:val="04A0" w:firstRow="1" w:lastRow="0" w:firstColumn="1" w:lastColumn="0" w:noHBand="0" w:noVBand="1"/>
      </w:tblPr>
      <w:tblGrid>
        <w:gridCol w:w="1749"/>
        <w:gridCol w:w="1272"/>
        <w:gridCol w:w="1383"/>
        <w:gridCol w:w="1636"/>
        <w:gridCol w:w="1393"/>
        <w:gridCol w:w="1400"/>
        <w:gridCol w:w="1781"/>
        <w:gridCol w:w="1691"/>
        <w:gridCol w:w="1472"/>
      </w:tblGrid>
      <w:tr w:rsidR="00003D6E" w:rsidRPr="008E1C7E" w14:paraId="6B4D4F3B" w14:textId="67318C4D" w:rsidTr="007877EC">
        <w:trPr>
          <w:trHeight w:val="296"/>
        </w:trPr>
        <w:tc>
          <w:tcPr>
            <w:tcW w:w="0" w:type="auto"/>
            <w:vMerge w:val="restart"/>
          </w:tcPr>
          <w:p w14:paraId="78A7BCFF" w14:textId="7275E75E" w:rsidR="00003D6E" w:rsidRPr="008E1C7E" w:rsidRDefault="00003D6E" w:rsidP="006C56F4">
            <w:pPr>
              <w:spacing w:line="360" w:lineRule="auto"/>
              <w:rPr>
                <w:rFonts w:ascii="Arial" w:hAnsi="Arial" w:cs="Arial"/>
                <w:b/>
                <w:sz w:val="20"/>
                <w:szCs w:val="20"/>
              </w:rPr>
            </w:pPr>
            <w:r w:rsidRPr="008E1C7E">
              <w:rPr>
                <w:rFonts w:ascii="Arial" w:hAnsi="Arial" w:cs="Arial"/>
                <w:b/>
                <w:sz w:val="20"/>
                <w:szCs w:val="20"/>
              </w:rPr>
              <w:t>Covariate</w:t>
            </w:r>
            <w:r>
              <w:rPr>
                <w:rFonts w:ascii="Arial" w:hAnsi="Arial" w:cs="Arial"/>
                <w:b/>
                <w:sz w:val="20"/>
                <w:szCs w:val="20"/>
              </w:rPr>
              <w:t>, change in:</w:t>
            </w:r>
          </w:p>
        </w:tc>
        <w:tc>
          <w:tcPr>
            <w:tcW w:w="12215" w:type="dxa"/>
            <w:gridSpan w:val="8"/>
          </w:tcPr>
          <w:p w14:paraId="1424DFE8" w14:textId="77777777" w:rsidR="00003D6E" w:rsidRPr="008E1C7E" w:rsidRDefault="00003D6E" w:rsidP="006C56F4">
            <w:pPr>
              <w:spacing w:line="360" w:lineRule="auto"/>
              <w:rPr>
                <w:rFonts w:ascii="Arial" w:hAnsi="Arial" w:cs="Arial"/>
                <w:b/>
                <w:sz w:val="20"/>
                <w:szCs w:val="20"/>
              </w:rPr>
            </w:pPr>
            <w:r w:rsidRPr="008E1C7E">
              <w:rPr>
                <w:rFonts w:ascii="Arial" w:hAnsi="Arial" w:cs="Arial"/>
                <w:b/>
                <w:sz w:val="20"/>
                <w:szCs w:val="20"/>
              </w:rPr>
              <w:t xml:space="preserve">Change in outcome given </w:t>
            </w:r>
            <w:r>
              <w:rPr>
                <w:rFonts w:ascii="Arial" w:hAnsi="Arial" w:cs="Arial"/>
                <w:b/>
                <w:sz w:val="20"/>
                <w:szCs w:val="20"/>
              </w:rPr>
              <w:t xml:space="preserve">a 1 SD increase </w:t>
            </w:r>
            <w:r w:rsidRPr="008E1C7E">
              <w:rPr>
                <w:rFonts w:ascii="Arial" w:hAnsi="Arial" w:cs="Arial"/>
                <w:b/>
                <w:sz w:val="20"/>
                <w:szCs w:val="20"/>
              </w:rPr>
              <w:t>in covariate</w:t>
            </w:r>
            <w:r>
              <w:rPr>
                <w:rFonts w:ascii="Arial" w:hAnsi="Arial" w:cs="Arial"/>
                <w:b/>
                <w:sz w:val="20"/>
                <w:szCs w:val="20"/>
              </w:rPr>
              <w:t>, mean (SE)</w:t>
            </w:r>
          </w:p>
        </w:tc>
      </w:tr>
      <w:tr w:rsidR="007877EC" w:rsidRPr="008E1C7E" w14:paraId="52EE1DB0" w14:textId="23C9E46C" w:rsidTr="007877EC">
        <w:tc>
          <w:tcPr>
            <w:tcW w:w="0" w:type="auto"/>
            <w:vMerge/>
          </w:tcPr>
          <w:p w14:paraId="0FE57C2E" w14:textId="77777777" w:rsidR="007877EC" w:rsidRPr="008E1C7E" w:rsidRDefault="007877EC" w:rsidP="007877EC">
            <w:pPr>
              <w:spacing w:line="360" w:lineRule="auto"/>
              <w:rPr>
                <w:rFonts w:ascii="Arial" w:hAnsi="Arial" w:cs="Arial"/>
                <w:b/>
                <w:sz w:val="20"/>
                <w:szCs w:val="20"/>
              </w:rPr>
            </w:pPr>
          </w:p>
        </w:tc>
        <w:tc>
          <w:tcPr>
            <w:tcW w:w="0" w:type="auto"/>
          </w:tcPr>
          <w:p w14:paraId="71D999FE" w14:textId="77777777" w:rsidR="007877EC" w:rsidRPr="008E1C7E" w:rsidRDefault="007877EC" w:rsidP="007877EC">
            <w:pPr>
              <w:spacing w:line="360" w:lineRule="auto"/>
              <w:rPr>
                <w:rFonts w:ascii="Arial" w:hAnsi="Arial" w:cs="Arial"/>
                <w:sz w:val="20"/>
                <w:szCs w:val="20"/>
              </w:rPr>
            </w:pPr>
            <w:r w:rsidRPr="00E95B6C">
              <w:rPr>
                <w:rFonts w:ascii="Arial" w:hAnsi="Arial" w:cs="Arial"/>
                <w:sz w:val="20"/>
                <w:szCs w:val="20"/>
              </w:rPr>
              <w:t>Life expectancy (days)</w:t>
            </w:r>
          </w:p>
        </w:tc>
        <w:tc>
          <w:tcPr>
            <w:tcW w:w="0" w:type="auto"/>
          </w:tcPr>
          <w:p w14:paraId="43F5A8B3" w14:textId="29153458" w:rsidR="007877EC" w:rsidRPr="006B719F" w:rsidRDefault="007877EC" w:rsidP="007877EC">
            <w:pPr>
              <w:spacing w:line="360" w:lineRule="auto"/>
              <w:rPr>
                <w:rFonts w:ascii="Arial" w:hAnsi="Arial" w:cs="Arial"/>
                <w:sz w:val="20"/>
                <w:szCs w:val="20"/>
                <w:highlight w:val="yellow"/>
              </w:rPr>
            </w:pPr>
            <w:r w:rsidRPr="009C1B4F">
              <w:rPr>
                <w:rFonts w:ascii="Arial" w:hAnsi="Arial" w:cs="Arial"/>
                <w:sz w:val="20"/>
                <w:szCs w:val="20"/>
              </w:rPr>
              <w:t>Cancer mortality (deaths/</w:t>
            </w:r>
            <w:r>
              <w:rPr>
                <w:rFonts w:ascii="Arial" w:hAnsi="Arial" w:cs="Arial"/>
                <w:sz w:val="20"/>
                <w:szCs w:val="20"/>
              </w:rPr>
              <w:t>mil.</w:t>
            </w:r>
            <w:r w:rsidRPr="009C1B4F">
              <w:rPr>
                <w:rFonts w:ascii="Arial" w:hAnsi="Arial" w:cs="Arial"/>
                <w:sz w:val="20"/>
                <w:szCs w:val="20"/>
              </w:rPr>
              <w:t>)</w:t>
            </w:r>
          </w:p>
        </w:tc>
        <w:tc>
          <w:tcPr>
            <w:tcW w:w="0" w:type="auto"/>
          </w:tcPr>
          <w:p w14:paraId="4255A595" w14:textId="04578304" w:rsidR="007877EC" w:rsidRPr="006B719F" w:rsidRDefault="007877EC" w:rsidP="007877EC">
            <w:pPr>
              <w:spacing w:line="360" w:lineRule="auto"/>
              <w:rPr>
                <w:rFonts w:ascii="Arial" w:hAnsi="Arial" w:cs="Arial"/>
                <w:sz w:val="20"/>
                <w:szCs w:val="20"/>
                <w:highlight w:val="yellow"/>
              </w:rPr>
            </w:pPr>
            <w:r w:rsidRPr="00D459A9">
              <w:rPr>
                <w:rFonts w:ascii="Arial" w:hAnsi="Arial" w:cs="Arial"/>
                <w:sz w:val="20"/>
                <w:szCs w:val="20"/>
              </w:rPr>
              <w:t>Cardiovascular mortality (deaths/</w:t>
            </w:r>
            <w:r>
              <w:rPr>
                <w:rFonts w:ascii="Arial" w:hAnsi="Arial" w:cs="Arial"/>
                <w:sz w:val="20"/>
                <w:szCs w:val="20"/>
              </w:rPr>
              <w:t>mil.</w:t>
            </w:r>
            <w:r w:rsidRPr="00D459A9">
              <w:rPr>
                <w:rFonts w:ascii="Arial" w:hAnsi="Arial" w:cs="Arial"/>
                <w:sz w:val="20"/>
                <w:szCs w:val="20"/>
              </w:rPr>
              <w:t>)</w:t>
            </w:r>
          </w:p>
        </w:tc>
        <w:tc>
          <w:tcPr>
            <w:tcW w:w="0" w:type="auto"/>
          </w:tcPr>
          <w:p w14:paraId="6ABE14B3" w14:textId="29133AA3" w:rsidR="007877EC" w:rsidRPr="008E1C7E" w:rsidRDefault="007877EC" w:rsidP="007877EC">
            <w:pPr>
              <w:spacing w:line="360" w:lineRule="auto"/>
              <w:rPr>
                <w:rFonts w:ascii="Arial" w:hAnsi="Arial" w:cs="Arial"/>
                <w:sz w:val="20"/>
                <w:szCs w:val="20"/>
              </w:rPr>
            </w:pPr>
            <w:r w:rsidRPr="00F84829">
              <w:rPr>
                <w:rFonts w:ascii="Arial" w:hAnsi="Arial" w:cs="Arial"/>
                <w:sz w:val="20"/>
                <w:szCs w:val="20"/>
              </w:rPr>
              <w:t>Infectious mortality (deaths/mil.)</w:t>
            </w:r>
          </w:p>
        </w:tc>
        <w:tc>
          <w:tcPr>
            <w:tcW w:w="0" w:type="auto"/>
          </w:tcPr>
          <w:p w14:paraId="192D137C" w14:textId="3390737D" w:rsidR="007877EC" w:rsidRPr="008E1C7E" w:rsidRDefault="007877EC" w:rsidP="007877EC">
            <w:pPr>
              <w:spacing w:line="360" w:lineRule="auto"/>
              <w:rPr>
                <w:rFonts w:ascii="Arial" w:hAnsi="Arial" w:cs="Arial"/>
                <w:sz w:val="20"/>
                <w:szCs w:val="20"/>
              </w:rPr>
            </w:pPr>
            <w:r w:rsidRPr="008E1C7E">
              <w:rPr>
                <w:rFonts w:ascii="Arial" w:hAnsi="Arial" w:cs="Arial"/>
                <w:sz w:val="20"/>
                <w:szCs w:val="20"/>
              </w:rPr>
              <w:t>R</w:t>
            </w:r>
            <w:r>
              <w:rPr>
                <w:rFonts w:ascii="Arial" w:hAnsi="Arial" w:cs="Arial"/>
                <w:sz w:val="20"/>
                <w:szCs w:val="20"/>
              </w:rPr>
              <w:t>espiratory mortality (deaths/mil.</w:t>
            </w:r>
            <w:r w:rsidRPr="008E1C7E">
              <w:rPr>
                <w:rFonts w:ascii="Arial" w:hAnsi="Arial" w:cs="Arial"/>
                <w:sz w:val="20"/>
                <w:szCs w:val="20"/>
              </w:rPr>
              <w:t>)</w:t>
            </w:r>
          </w:p>
        </w:tc>
        <w:tc>
          <w:tcPr>
            <w:tcW w:w="0" w:type="auto"/>
          </w:tcPr>
          <w:p w14:paraId="71514A92" w14:textId="0EAB3183" w:rsidR="007877EC" w:rsidRPr="008E1C7E" w:rsidRDefault="00B66795" w:rsidP="007877EC">
            <w:pPr>
              <w:spacing w:line="360" w:lineRule="auto"/>
              <w:rPr>
                <w:rFonts w:ascii="Arial" w:hAnsi="Arial" w:cs="Arial"/>
                <w:sz w:val="20"/>
                <w:szCs w:val="20"/>
              </w:rPr>
            </w:pPr>
            <w:r w:rsidRPr="00652058">
              <w:rPr>
                <w:rFonts w:ascii="Arial" w:hAnsi="Arial" w:cs="Arial"/>
                <w:sz w:val="20"/>
                <w:szCs w:val="20"/>
              </w:rPr>
              <w:t>S</w:t>
            </w:r>
            <w:r w:rsidR="007877EC" w:rsidRPr="00652058">
              <w:rPr>
                <w:rFonts w:ascii="Arial" w:hAnsi="Arial" w:cs="Arial"/>
                <w:sz w:val="20"/>
                <w:szCs w:val="20"/>
              </w:rPr>
              <w:t>ubstance</w:t>
            </w:r>
            <w:r w:rsidRPr="00652058">
              <w:rPr>
                <w:rFonts w:ascii="Arial" w:hAnsi="Arial" w:cs="Arial"/>
                <w:sz w:val="20"/>
                <w:szCs w:val="20"/>
              </w:rPr>
              <w:t>/injury</w:t>
            </w:r>
            <w:r w:rsidR="007877EC" w:rsidRPr="00652058">
              <w:rPr>
                <w:rFonts w:ascii="Arial" w:hAnsi="Arial" w:cs="Arial"/>
                <w:sz w:val="20"/>
                <w:szCs w:val="20"/>
              </w:rPr>
              <w:t xml:space="preserve"> mortality (deaths/mil.)</w:t>
            </w:r>
          </w:p>
        </w:tc>
        <w:tc>
          <w:tcPr>
            <w:tcW w:w="0" w:type="auto"/>
          </w:tcPr>
          <w:p w14:paraId="56A6AAAA" w14:textId="176F6496" w:rsidR="007877EC" w:rsidRPr="008E1C7E" w:rsidRDefault="007877EC" w:rsidP="007877EC">
            <w:pPr>
              <w:spacing w:line="360" w:lineRule="auto"/>
              <w:rPr>
                <w:rFonts w:ascii="Arial" w:hAnsi="Arial" w:cs="Arial"/>
                <w:sz w:val="20"/>
                <w:szCs w:val="20"/>
              </w:rPr>
            </w:pPr>
            <w:r>
              <w:rPr>
                <w:rFonts w:ascii="Arial" w:hAnsi="Arial" w:cs="Arial"/>
                <w:sz w:val="20"/>
                <w:szCs w:val="20"/>
              </w:rPr>
              <w:t>Preventable hospitalizations (stays/1</w:t>
            </w:r>
            <w:r w:rsidR="00CF1928">
              <w:rPr>
                <w:rFonts w:ascii="Arial" w:hAnsi="Arial" w:cs="Arial"/>
                <w:sz w:val="20"/>
                <w:szCs w:val="20"/>
              </w:rPr>
              <w:t>0,0</w:t>
            </w:r>
            <w:r>
              <w:rPr>
                <w:rFonts w:ascii="Arial" w:hAnsi="Arial" w:cs="Arial"/>
                <w:sz w:val="20"/>
                <w:szCs w:val="20"/>
              </w:rPr>
              <w:t>00)</w:t>
            </w:r>
          </w:p>
        </w:tc>
        <w:tc>
          <w:tcPr>
            <w:tcW w:w="0" w:type="auto"/>
          </w:tcPr>
          <w:p w14:paraId="5569242C" w14:textId="7326C844" w:rsidR="007877EC" w:rsidRPr="008E1C7E" w:rsidRDefault="007877EC" w:rsidP="007877EC">
            <w:pPr>
              <w:spacing w:line="360" w:lineRule="auto"/>
              <w:rPr>
                <w:rFonts w:ascii="Arial" w:hAnsi="Arial" w:cs="Arial"/>
                <w:sz w:val="20"/>
                <w:szCs w:val="20"/>
              </w:rPr>
            </w:pPr>
            <w:r>
              <w:rPr>
                <w:rFonts w:ascii="Arial" w:hAnsi="Arial" w:cs="Arial"/>
                <w:sz w:val="20"/>
                <w:szCs w:val="20"/>
              </w:rPr>
              <w:t>Premature deaths (years lost/1</w:t>
            </w:r>
            <w:r w:rsidR="00CF1928">
              <w:rPr>
                <w:rFonts w:ascii="Arial" w:hAnsi="Arial" w:cs="Arial"/>
                <w:sz w:val="20"/>
                <w:szCs w:val="20"/>
              </w:rPr>
              <w:t>0</w:t>
            </w:r>
            <w:r>
              <w:rPr>
                <w:rFonts w:ascii="Arial" w:hAnsi="Arial" w:cs="Arial"/>
                <w:sz w:val="20"/>
                <w:szCs w:val="20"/>
              </w:rPr>
              <w:t>0,000)</w:t>
            </w:r>
          </w:p>
        </w:tc>
      </w:tr>
      <w:tr w:rsidR="00003D6E" w:rsidRPr="008E1C7E" w14:paraId="5B3EFBBA" w14:textId="04239219" w:rsidTr="007877EC">
        <w:tc>
          <w:tcPr>
            <w:tcW w:w="0" w:type="auto"/>
          </w:tcPr>
          <w:p w14:paraId="13F5D24A" w14:textId="77777777" w:rsidR="00003D6E" w:rsidRPr="008E1C7E" w:rsidRDefault="00003D6E" w:rsidP="006C56F4">
            <w:pPr>
              <w:spacing w:line="360" w:lineRule="auto"/>
              <w:rPr>
                <w:rFonts w:ascii="Arial" w:hAnsi="Arial" w:cs="Arial"/>
                <w:b/>
                <w:sz w:val="20"/>
                <w:szCs w:val="20"/>
              </w:rPr>
            </w:pPr>
            <w:r w:rsidRPr="008E1C7E">
              <w:rPr>
                <w:rFonts w:ascii="Arial" w:hAnsi="Arial" w:cs="Arial"/>
                <w:sz w:val="20"/>
                <w:szCs w:val="20"/>
              </w:rPr>
              <w:t>Primary care physicians per 10,000 population</w:t>
            </w:r>
          </w:p>
        </w:tc>
        <w:tc>
          <w:tcPr>
            <w:tcW w:w="0" w:type="auto"/>
          </w:tcPr>
          <w:p w14:paraId="58912331" w14:textId="6868FEF3" w:rsidR="00003D6E" w:rsidRPr="008E1C7E" w:rsidRDefault="00003D6E" w:rsidP="006C56F4">
            <w:pPr>
              <w:spacing w:line="360" w:lineRule="auto"/>
              <w:rPr>
                <w:rFonts w:ascii="Arial" w:hAnsi="Arial" w:cs="Arial"/>
                <w:sz w:val="20"/>
                <w:szCs w:val="20"/>
              </w:rPr>
            </w:pPr>
            <w:r>
              <w:rPr>
                <w:rFonts w:ascii="Arial" w:hAnsi="Arial" w:cs="Arial"/>
                <w:sz w:val="20"/>
                <w:szCs w:val="20"/>
              </w:rPr>
              <w:t>2.7 (1.5)</w:t>
            </w:r>
          </w:p>
        </w:tc>
        <w:tc>
          <w:tcPr>
            <w:tcW w:w="0" w:type="auto"/>
          </w:tcPr>
          <w:p w14:paraId="5300057D" w14:textId="652E6D38" w:rsidR="00003D6E" w:rsidRPr="008E1C7E" w:rsidRDefault="00003D6E" w:rsidP="006C56F4">
            <w:pPr>
              <w:spacing w:line="360" w:lineRule="auto"/>
              <w:rPr>
                <w:rFonts w:ascii="Arial" w:hAnsi="Arial" w:cs="Arial"/>
                <w:sz w:val="20"/>
                <w:szCs w:val="20"/>
              </w:rPr>
            </w:pPr>
            <w:r>
              <w:rPr>
                <w:rFonts w:ascii="Arial" w:hAnsi="Arial" w:cs="Arial"/>
                <w:sz w:val="20"/>
                <w:szCs w:val="20"/>
              </w:rPr>
              <w:t>-0.3 (0.8)</w:t>
            </w:r>
          </w:p>
        </w:tc>
        <w:tc>
          <w:tcPr>
            <w:tcW w:w="0" w:type="auto"/>
          </w:tcPr>
          <w:p w14:paraId="42DF5B76" w14:textId="557DCD44" w:rsidR="00003D6E" w:rsidRPr="008E1C7E" w:rsidRDefault="00003D6E" w:rsidP="006C56F4">
            <w:pPr>
              <w:spacing w:line="360" w:lineRule="auto"/>
              <w:rPr>
                <w:rFonts w:ascii="Arial" w:hAnsi="Arial" w:cs="Arial"/>
                <w:sz w:val="20"/>
                <w:szCs w:val="20"/>
              </w:rPr>
            </w:pPr>
            <w:r>
              <w:rPr>
                <w:rFonts w:ascii="Arial" w:hAnsi="Arial" w:cs="Arial"/>
                <w:sz w:val="20"/>
                <w:szCs w:val="20"/>
              </w:rPr>
              <w:t>-4.3 (</w:t>
            </w:r>
            <w:proofErr w:type="gramStart"/>
            <w:r>
              <w:rPr>
                <w:rFonts w:ascii="Arial" w:hAnsi="Arial" w:cs="Arial"/>
                <w:sz w:val="20"/>
                <w:szCs w:val="20"/>
              </w:rPr>
              <w:t>1.6)*</w:t>
            </w:r>
            <w:proofErr w:type="gramEnd"/>
            <w:r>
              <w:rPr>
                <w:rFonts w:ascii="Arial" w:hAnsi="Arial" w:cs="Arial"/>
                <w:sz w:val="20"/>
                <w:szCs w:val="20"/>
              </w:rPr>
              <w:t>*</w:t>
            </w:r>
          </w:p>
        </w:tc>
        <w:tc>
          <w:tcPr>
            <w:tcW w:w="0" w:type="auto"/>
          </w:tcPr>
          <w:p w14:paraId="0DC4898C" w14:textId="0595B109" w:rsidR="00003D6E" w:rsidRDefault="001B1C60" w:rsidP="006C56F4">
            <w:pPr>
              <w:spacing w:line="360" w:lineRule="auto"/>
              <w:rPr>
                <w:rFonts w:ascii="Arial" w:hAnsi="Arial" w:cs="Arial"/>
                <w:sz w:val="20"/>
                <w:szCs w:val="20"/>
              </w:rPr>
            </w:pPr>
            <w:r>
              <w:rPr>
                <w:rFonts w:ascii="Arial" w:hAnsi="Arial" w:cs="Arial"/>
                <w:sz w:val="20"/>
                <w:szCs w:val="20"/>
              </w:rPr>
              <w:t>0.5 (0.4)</w:t>
            </w:r>
          </w:p>
          <w:p w14:paraId="0EC41A09" w14:textId="77777777" w:rsidR="00003D6E" w:rsidRPr="002867BD" w:rsidRDefault="00003D6E" w:rsidP="002867BD">
            <w:pPr>
              <w:jc w:val="center"/>
              <w:rPr>
                <w:rFonts w:ascii="Arial" w:hAnsi="Arial" w:cs="Arial"/>
                <w:sz w:val="20"/>
                <w:szCs w:val="20"/>
              </w:rPr>
            </w:pPr>
          </w:p>
        </w:tc>
        <w:tc>
          <w:tcPr>
            <w:tcW w:w="0" w:type="auto"/>
          </w:tcPr>
          <w:p w14:paraId="47DD84DE" w14:textId="0C98F783" w:rsidR="00003D6E" w:rsidRPr="008E1C7E" w:rsidRDefault="00003D6E" w:rsidP="007917FA">
            <w:pPr>
              <w:spacing w:line="360" w:lineRule="auto"/>
              <w:rPr>
                <w:rFonts w:ascii="Arial" w:hAnsi="Arial" w:cs="Arial"/>
                <w:sz w:val="20"/>
                <w:szCs w:val="20"/>
              </w:rPr>
            </w:pPr>
            <w:r>
              <w:rPr>
                <w:rFonts w:ascii="Arial" w:hAnsi="Arial" w:cs="Arial"/>
                <w:sz w:val="20"/>
                <w:szCs w:val="20"/>
              </w:rPr>
              <w:t>-0.6 (0.5)</w:t>
            </w:r>
          </w:p>
        </w:tc>
        <w:tc>
          <w:tcPr>
            <w:tcW w:w="0" w:type="auto"/>
          </w:tcPr>
          <w:p w14:paraId="183F1DA8" w14:textId="2B4F4F55" w:rsidR="00003D6E" w:rsidRPr="008E1C7E" w:rsidRDefault="003407EC" w:rsidP="006C56F4">
            <w:pPr>
              <w:spacing w:line="360" w:lineRule="auto"/>
              <w:rPr>
                <w:rFonts w:ascii="Arial" w:hAnsi="Arial" w:cs="Arial"/>
                <w:sz w:val="20"/>
                <w:szCs w:val="20"/>
              </w:rPr>
            </w:pPr>
            <w:r>
              <w:rPr>
                <w:rFonts w:ascii="Arial" w:hAnsi="Arial" w:cs="Arial"/>
                <w:sz w:val="20"/>
                <w:szCs w:val="20"/>
              </w:rPr>
              <w:t>-1.1 (</w:t>
            </w:r>
            <w:proofErr w:type="gramStart"/>
            <w:r>
              <w:rPr>
                <w:rFonts w:ascii="Arial" w:hAnsi="Arial" w:cs="Arial"/>
                <w:sz w:val="20"/>
                <w:szCs w:val="20"/>
              </w:rPr>
              <w:t>0.3)*</w:t>
            </w:r>
            <w:proofErr w:type="gramEnd"/>
            <w:r>
              <w:rPr>
                <w:rFonts w:ascii="Arial" w:hAnsi="Arial" w:cs="Arial"/>
                <w:sz w:val="20"/>
                <w:szCs w:val="20"/>
              </w:rPr>
              <w:t>*</w:t>
            </w:r>
          </w:p>
        </w:tc>
        <w:tc>
          <w:tcPr>
            <w:tcW w:w="0" w:type="auto"/>
          </w:tcPr>
          <w:p w14:paraId="486163D0" w14:textId="6EA53BEC" w:rsidR="00003D6E" w:rsidRPr="008E1C7E" w:rsidRDefault="000612B9" w:rsidP="006C56F4">
            <w:pPr>
              <w:spacing w:line="360" w:lineRule="auto"/>
              <w:rPr>
                <w:rFonts w:ascii="Arial" w:hAnsi="Arial" w:cs="Arial"/>
                <w:sz w:val="20"/>
                <w:szCs w:val="20"/>
              </w:rPr>
            </w:pPr>
            <w:r w:rsidRPr="007A717F">
              <w:rPr>
                <w:rFonts w:ascii="Arial" w:hAnsi="Arial" w:cs="Arial"/>
                <w:sz w:val="20"/>
                <w:szCs w:val="20"/>
              </w:rPr>
              <w:t>16.0 (</w:t>
            </w:r>
            <w:proofErr w:type="gramStart"/>
            <w:r w:rsidRPr="007A717F">
              <w:rPr>
                <w:rFonts w:ascii="Arial" w:hAnsi="Arial" w:cs="Arial"/>
                <w:sz w:val="20"/>
                <w:szCs w:val="20"/>
              </w:rPr>
              <w:t>5.0)*</w:t>
            </w:r>
            <w:proofErr w:type="gramEnd"/>
            <w:r w:rsidRPr="007A717F">
              <w:rPr>
                <w:rFonts w:ascii="Arial" w:hAnsi="Arial" w:cs="Arial"/>
                <w:sz w:val="20"/>
                <w:szCs w:val="20"/>
              </w:rPr>
              <w:t>*</w:t>
            </w:r>
          </w:p>
        </w:tc>
        <w:tc>
          <w:tcPr>
            <w:tcW w:w="0" w:type="auto"/>
          </w:tcPr>
          <w:p w14:paraId="62375DE3" w14:textId="63A59500" w:rsidR="00003D6E" w:rsidRPr="008E1C7E" w:rsidRDefault="00015465" w:rsidP="006C56F4">
            <w:pPr>
              <w:spacing w:line="360" w:lineRule="auto"/>
              <w:rPr>
                <w:rFonts w:ascii="Arial" w:hAnsi="Arial" w:cs="Arial"/>
                <w:sz w:val="20"/>
                <w:szCs w:val="20"/>
              </w:rPr>
            </w:pPr>
            <w:r>
              <w:rPr>
                <w:rFonts w:ascii="Arial" w:hAnsi="Arial" w:cs="Arial"/>
                <w:sz w:val="20"/>
                <w:szCs w:val="20"/>
              </w:rPr>
              <w:t>-85.9 (58.4)</w:t>
            </w:r>
          </w:p>
        </w:tc>
      </w:tr>
      <w:tr w:rsidR="00003D6E" w:rsidRPr="008E1C7E" w14:paraId="3C15CD99" w14:textId="53B3751E" w:rsidTr="007877EC">
        <w:tc>
          <w:tcPr>
            <w:tcW w:w="0" w:type="auto"/>
          </w:tcPr>
          <w:p w14:paraId="1A4BEE42"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Non-metro area, change to metro area</w:t>
            </w:r>
          </w:p>
        </w:tc>
        <w:tc>
          <w:tcPr>
            <w:tcW w:w="0" w:type="auto"/>
          </w:tcPr>
          <w:p w14:paraId="6E000BBA" w14:textId="01143821" w:rsidR="00003D6E" w:rsidRPr="008E1C7E" w:rsidRDefault="00003D6E" w:rsidP="006C56F4">
            <w:pPr>
              <w:spacing w:line="360" w:lineRule="auto"/>
              <w:rPr>
                <w:rFonts w:ascii="Arial" w:hAnsi="Arial" w:cs="Arial"/>
                <w:sz w:val="20"/>
                <w:szCs w:val="20"/>
              </w:rPr>
            </w:pPr>
            <w:r>
              <w:rPr>
                <w:rFonts w:ascii="Arial" w:hAnsi="Arial" w:cs="Arial"/>
                <w:sz w:val="20"/>
                <w:szCs w:val="20"/>
              </w:rPr>
              <w:t>-3.8 (4.5)</w:t>
            </w:r>
          </w:p>
        </w:tc>
        <w:tc>
          <w:tcPr>
            <w:tcW w:w="0" w:type="auto"/>
          </w:tcPr>
          <w:p w14:paraId="12CECFCA" w14:textId="1E8A5196" w:rsidR="00003D6E" w:rsidRPr="008E1C7E" w:rsidRDefault="00003D6E" w:rsidP="006C56F4">
            <w:pPr>
              <w:spacing w:line="360" w:lineRule="auto"/>
              <w:rPr>
                <w:rFonts w:ascii="Arial" w:hAnsi="Arial" w:cs="Arial"/>
                <w:sz w:val="20"/>
                <w:szCs w:val="20"/>
              </w:rPr>
            </w:pPr>
            <w:r>
              <w:rPr>
                <w:rFonts w:ascii="Arial" w:hAnsi="Arial" w:cs="Arial"/>
                <w:sz w:val="20"/>
                <w:szCs w:val="20"/>
              </w:rPr>
              <w:t>3.9 (</w:t>
            </w:r>
            <w:proofErr w:type="gramStart"/>
            <w:r>
              <w:rPr>
                <w:rFonts w:ascii="Arial" w:hAnsi="Arial" w:cs="Arial"/>
                <w:sz w:val="20"/>
                <w:szCs w:val="20"/>
              </w:rPr>
              <w:t>1.9)*</w:t>
            </w:r>
            <w:proofErr w:type="gramEnd"/>
          </w:p>
        </w:tc>
        <w:tc>
          <w:tcPr>
            <w:tcW w:w="0" w:type="auto"/>
          </w:tcPr>
          <w:p w14:paraId="23063D8B" w14:textId="558F607C" w:rsidR="00003D6E" w:rsidRPr="008E1C7E" w:rsidRDefault="00003D6E" w:rsidP="006C56F4">
            <w:pPr>
              <w:spacing w:line="360" w:lineRule="auto"/>
              <w:rPr>
                <w:rFonts w:ascii="Arial" w:hAnsi="Arial" w:cs="Arial"/>
                <w:sz w:val="20"/>
                <w:szCs w:val="20"/>
              </w:rPr>
            </w:pPr>
            <w:r>
              <w:rPr>
                <w:rFonts w:ascii="Arial" w:hAnsi="Arial" w:cs="Arial"/>
                <w:sz w:val="20"/>
                <w:szCs w:val="20"/>
              </w:rPr>
              <w:t>1.9 (6.4)</w:t>
            </w:r>
          </w:p>
        </w:tc>
        <w:tc>
          <w:tcPr>
            <w:tcW w:w="0" w:type="auto"/>
          </w:tcPr>
          <w:p w14:paraId="4173CA13" w14:textId="58B6BA66" w:rsidR="00003D6E" w:rsidRPr="008E1C7E" w:rsidRDefault="001B1C60" w:rsidP="006C56F4">
            <w:pPr>
              <w:spacing w:line="360" w:lineRule="auto"/>
              <w:rPr>
                <w:rFonts w:ascii="Arial" w:hAnsi="Arial" w:cs="Arial"/>
                <w:sz w:val="20"/>
                <w:szCs w:val="20"/>
              </w:rPr>
            </w:pPr>
            <w:r>
              <w:rPr>
                <w:rFonts w:ascii="Arial" w:hAnsi="Arial" w:cs="Arial"/>
                <w:sz w:val="20"/>
                <w:szCs w:val="20"/>
              </w:rPr>
              <w:t>5.0 (</w:t>
            </w:r>
            <w:proofErr w:type="gramStart"/>
            <w:r>
              <w:rPr>
                <w:rFonts w:ascii="Arial" w:hAnsi="Arial" w:cs="Arial"/>
                <w:sz w:val="20"/>
                <w:szCs w:val="20"/>
              </w:rPr>
              <w:t>1.1)*</w:t>
            </w:r>
            <w:proofErr w:type="gramEnd"/>
            <w:r>
              <w:rPr>
                <w:rFonts w:ascii="Arial" w:hAnsi="Arial" w:cs="Arial"/>
                <w:sz w:val="20"/>
                <w:szCs w:val="20"/>
              </w:rPr>
              <w:t>*</w:t>
            </w:r>
          </w:p>
        </w:tc>
        <w:tc>
          <w:tcPr>
            <w:tcW w:w="0" w:type="auto"/>
          </w:tcPr>
          <w:p w14:paraId="121C06CF" w14:textId="7FB2F073" w:rsidR="00003D6E" w:rsidRPr="008E1C7E" w:rsidRDefault="00003D6E" w:rsidP="006C56F4">
            <w:pPr>
              <w:spacing w:line="360" w:lineRule="auto"/>
              <w:rPr>
                <w:rFonts w:ascii="Arial" w:hAnsi="Arial" w:cs="Arial"/>
                <w:sz w:val="20"/>
                <w:szCs w:val="20"/>
              </w:rPr>
            </w:pPr>
            <w:r>
              <w:rPr>
                <w:rFonts w:ascii="Arial" w:hAnsi="Arial" w:cs="Arial"/>
                <w:sz w:val="20"/>
                <w:szCs w:val="20"/>
              </w:rPr>
              <w:t>1.1 (1.7)</w:t>
            </w:r>
          </w:p>
        </w:tc>
        <w:tc>
          <w:tcPr>
            <w:tcW w:w="0" w:type="auto"/>
          </w:tcPr>
          <w:p w14:paraId="583DE6C0" w14:textId="2F119222" w:rsidR="00003D6E" w:rsidRPr="008E1C7E" w:rsidRDefault="003407EC" w:rsidP="006C56F4">
            <w:pPr>
              <w:spacing w:line="360" w:lineRule="auto"/>
              <w:rPr>
                <w:rFonts w:ascii="Arial" w:hAnsi="Arial" w:cs="Arial"/>
                <w:sz w:val="20"/>
                <w:szCs w:val="20"/>
              </w:rPr>
            </w:pPr>
            <w:r>
              <w:rPr>
                <w:rFonts w:ascii="Arial" w:hAnsi="Arial" w:cs="Arial"/>
                <w:sz w:val="20"/>
                <w:szCs w:val="20"/>
              </w:rPr>
              <w:t>-0.6 (1.6)</w:t>
            </w:r>
          </w:p>
        </w:tc>
        <w:tc>
          <w:tcPr>
            <w:tcW w:w="0" w:type="auto"/>
          </w:tcPr>
          <w:p w14:paraId="59CA2C64" w14:textId="5BE5A320" w:rsidR="00003D6E" w:rsidRPr="008E1C7E" w:rsidRDefault="00957BEC" w:rsidP="006C56F4">
            <w:pPr>
              <w:spacing w:line="360" w:lineRule="auto"/>
              <w:rPr>
                <w:rFonts w:ascii="Arial" w:hAnsi="Arial" w:cs="Arial"/>
                <w:sz w:val="20"/>
                <w:szCs w:val="20"/>
              </w:rPr>
            </w:pPr>
            <w:r>
              <w:rPr>
                <w:rFonts w:ascii="Arial" w:hAnsi="Arial" w:cs="Arial"/>
                <w:sz w:val="20"/>
                <w:szCs w:val="20"/>
              </w:rPr>
              <w:t>-14.4 (10.6)</w:t>
            </w:r>
          </w:p>
        </w:tc>
        <w:tc>
          <w:tcPr>
            <w:tcW w:w="0" w:type="auto"/>
          </w:tcPr>
          <w:p w14:paraId="53648847" w14:textId="62521CB3" w:rsidR="00003D6E" w:rsidRPr="008E1C7E" w:rsidRDefault="00015465" w:rsidP="006C56F4">
            <w:pPr>
              <w:spacing w:line="360" w:lineRule="auto"/>
              <w:rPr>
                <w:rFonts w:ascii="Arial" w:hAnsi="Arial" w:cs="Arial"/>
                <w:sz w:val="20"/>
                <w:szCs w:val="20"/>
              </w:rPr>
            </w:pPr>
            <w:r>
              <w:rPr>
                <w:rFonts w:ascii="Arial" w:hAnsi="Arial" w:cs="Arial"/>
                <w:sz w:val="20"/>
                <w:szCs w:val="20"/>
              </w:rPr>
              <w:t>43.5 (77.4)</w:t>
            </w:r>
          </w:p>
        </w:tc>
      </w:tr>
      <w:tr w:rsidR="00003D6E" w:rsidRPr="008E1C7E" w14:paraId="663333D3" w14:textId="0582E5AE" w:rsidTr="007877EC">
        <w:tc>
          <w:tcPr>
            <w:tcW w:w="0" w:type="auto"/>
          </w:tcPr>
          <w:p w14:paraId="2B7D352F"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Population in poverty</w:t>
            </w:r>
          </w:p>
        </w:tc>
        <w:tc>
          <w:tcPr>
            <w:tcW w:w="0" w:type="auto"/>
          </w:tcPr>
          <w:p w14:paraId="7D6E144D" w14:textId="68E35F72" w:rsidR="00003D6E" w:rsidRPr="008E1C7E" w:rsidRDefault="00003D6E" w:rsidP="006C56F4">
            <w:pPr>
              <w:spacing w:line="360" w:lineRule="auto"/>
              <w:rPr>
                <w:rFonts w:ascii="Arial" w:hAnsi="Arial" w:cs="Arial"/>
                <w:sz w:val="20"/>
                <w:szCs w:val="20"/>
              </w:rPr>
            </w:pPr>
            <w:r>
              <w:rPr>
                <w:rFonts w:ascii="Arial" w:hAnsi="Arial" w:cs="Arial"/>
                <w:sz w:val="20"/>
                <w:szCs w:val="20"/>
              </w:rPr>
              <w:t>-7.8 (</w:t>
            </w:r>
            <w:proofErr w:type="gramStart"/>
            <w:r>
              <w:rPr>
                <w:rFonts w:ascii="Arial" w:hAnsi="Arial" w:cs="Arial"/>
                <w:sz w:val="20"/>
                <w:szCs w:val="20"/>
              </w:rPr>
              <w:t>2.2)*</w:t>
            </w:r>
            <w:proofErr w:type="gramEnd"/>
            <w:r>
              <w:rPr>
                <w:rFonts w:ascii="Arial" w:hAnsi="Arial" w:cs="Arial"/>
                <w:sz w:val="20"/>
                <w:szCs w:val="20"/>
              </w:rPr>
              <w:t>*</w:t>
            </w:r>
          </w:p>
        </w:tc>
        <w:tc>
          <w:tcPr>
            <w:tcW w:w="0" w:type="auto"/>
          </w:tcPr>
          <w:p w14:paraId="030DD213" w14:textId="4BBC2ED4" w:rsidR="00003D6E" w:rsidRPr="008E1C7E" w:rsidRDefault="00003D6E" w:rsidP="006C56F4">
            <w:pPr>
              <w:spacing w:line="360" w:lineRule="auto"/>
              <w:rPr>
                <w:rFonts w:ascii="Arial" w:hAnsi="Arial" w:cs="Arial"/>
                <w:sz w:val="20"/>
                <w:szCs w:val="20"/>
              </w:rPr>
            </w:pPr>
            <w:r>
              <w:rPr>
                <w:rFonts w:ascii="Arial" w:hAnsi="Arial" w:cs="Arial"/>
                <w:sz w:val="20"/>
                <w:szCs w:val="20"/>
              </w:rPr>
              <w:t>-95.4 (</w:t>
            </w:r>
            <w:proofErr w:type="gramStart"/>
            <w:r>
              <w:rPr>
                <w:rFonts w:ascii="Arial" w:hAnsi="Arial" w:cs="Arial"/>
                <w:sz w:val="20"/>
                <w:szCs w:val="20"/>
              </w:rPr>
              <w:t>10.1)*</w:t>
            </w:r>
            <w:proofErr w:type="gramEnd"/>
            <w:r>
              <w:rPr>
                <w:rFonts w:ascii="Arial" w:hAnsi="Arial" w:cs="Arial"/>
                <w:sz w:val="20"/>
                <w:szCs w:val="20"/>
              </w:rPr>
              <w:t>*</w:t>
            </w:r>
          </w:p>
        </w:tc>
        <w:tc>
          <w:tcPr>
            <w:tcW w:w="0" w:type="auto"/>
          </w:tcPr>
          <w:p w14:paraId="4440DF5F" w14:textId="0A4C6585" w:rsidR="00003D6E" w:rsidRPr="008E1C7E" w:rsidRDefault="00003D6E" w:rsidP="006C56F4">
            <w:pPr>
              <w:spacing w:line="360" w:lineRule="auto"/>
              <w:rPr>
                <w:rFonts w:ascii="Arial" w:hAnsi="Arial" w:cs="Arial"/>
                <w:sz w:val="20"/>
                <w:szCs w:val="20"/>
              </w:rPr>
            </w:pPr>
            <w:r>
              <w:rPr>
                <w:rFonts w:ascii="Arial" w:hAnsi="Arial" w:cs="Arial"/>
                <w:sz w:val="20"/>
                <w:szCs w:val="20"/>
              </w:rPr>
              <w:t>-4.9 (2.7)</w:t>
            </w:r>
          </w:p>
        </w:tc>
        <w:tc>
          <w:tcPr>
            <w:tcW w:w="0" w:type="auto"/>
          </w:tcPr>
          <w:p w14:paraId="07C60966" w14:textId="5F33A6CA" w:rsidR="00003D6E" w:rsidRPr="008E1C7E" w:rsidRDefault="001B1C60" w:rsidP="006C56F4">
            <w:pPr>
              <w:spacing w:line="360" w:lineRule="auto"/>
              <w:rPr>
                <w:rFonts w:ascii="Arial" w:hAnsi="Arial" w:cs="Arial"/>
                <w:sz w:val="20"/>
                <w:szCs w:val="20"/>
              </w:rPr>
            </w:pPr>
            <w:r>
              <w:rPr>
                <w:rFonts w:ascii="Arial" w:hAnsi="Arial" w:cs="Arial"/>
                <w:sz w:val="20"/>
                <w:szCs w:val="20"/>
              </w:rPr>
              <w:t>3.8 (</w:t>
            </w:r>
            <w:proofErr w:type="gramStart"/>
            <w:r>
              <w:rPr>
                <w:rFonts w:ascii="Arial" w:hAnsi="Arial" w:cs="Arial"/>
                <w:sz w:val="20"/>
                <w:szCs w:val="20"/>
              </w:rPr>
              <w:t>0.7)*</w:t>
            </w:r>
            <w:proofErr w:type="gramEnd"/>
            <w:r>
              <w:rPr>
                <w:rFonts w:ascii="Arial" w:hAnsi="Arial" w:cs="Arial"/>
                <w:sz w:val="20"/>
                <w:szCs w:val="20"/>
              </w:rPr>
              <w:t>*</w:t>
            </w:r>
          </w:p>
        </w:tc>
        <w:tc>
          <w:tcPr>
            <w:tcW w:w="0" w:type="auto"/>
          </w:tcPr>
          <w:p w14:paraId="536335EA" w14:textId="0EBF64F1" w:rsidR="00003D6E" w:rsidRPr="008E1C7E" w:rsidRDefault="00003D6E" w:rsidP="006C56F4">
            <w:pPr>
              <w:spacing w:line="360" w:lineRule="auto"/>
              <w:rPr>
                <w:rFonts w:ascii="Arial" w:hAnsi="Arial" w:cs="Arial"/>
                <w:sz w:val="20"/>
                <w:szCs w:val="20"/>
              </w:rPr>
            </w:pPr>
            <w:r>
              <w:rPr>
                <w:rFonts w:ascii="Arial" w:hAnsi="Arial" w:cs="Arial"/>
                <w:sz w:val="20"/>
                <w:szCs w:val="20"/>
              </w:rPr>
              <w:t>6.6 (</w:t>
            </w:r>
            <w:proofErr w:type="gramStart"/>
            <w:r>
              <w:rPr>
                <w:rFonts w:ascii="Arial" w:hAnsi="Arial" w:cs="Arial"/>
                <w:sz w:val="20"/>
                <w:szCs w:val="20"/>
              </w:rPr>
              <w:t>0.7)*</w:t>
            </w:r>
            <w:proofErr w:type="gramEnd"/>
            <w:r>
              <w:rPr>
                <w:rFonts w:ascii="Arial" w:hAnsi="Arial" w:cs="Arial"/>
                <w:sz w:val="20"/>
                <w:szCs w:val="20"/>
              </w:rPr>
              <w:t>*</w:t>
            </w:r>
          </w:p>
        </w:tc>
        <w:tc>
          <w:tcPr>
            <w:tcW w:w="0" w:type="auto"/>
          </w:tcPr>
          <w:p w14:paraId="20184420" w14:textId="60D9124D" w:rsidR="00003D6E" w:rsidRPr="008E1C7E" w:rsidRDefault="00C13217" w:rsidP="006C56F4">
            <w:pPr>
              <w:spacing w:line="360" w:lineRule="auto"/>
              <w:rPr>
                <w:rFonts w:ascii="Arial" w:hAnsi="Arial" w:cs="Arial"/>
                <w:sz w:val="20"/>
                <w:szCs w:val="20"/>
              </w:rPr>
            </w:pPr>
            <w:r>
              <w:rPr>
                <w:rFonts w:ascii="Arial" w:hAnsi="Arial" w:cs="Arial"/>
                <w:sz w:val="20"/>
                <w:szCs w:val="20"/>
              </w:rPr>
              <w:t>-0.3 (0.9)</w:t>
            </w:r>
          </w:p>
        </w:tc>
        <w:tc>
          <w:tcPr>
            <w:tcW w:w="0" w:type="auto"/>
          </w:tcPr>
          <w:p w14:paraId="5DFA4B9A" w14:textId="13AFDC78" w:rsidR="00003D6E" w:rsidRPr="008E1C7E" w:rsidRDefault="00957BEC" w:rsidP="006C56F4">
            <w:pPr>
              <w:spacing w:line="360" w:lineRule="auto"/>
              <w:rPr>
                <w:rFonts w:ascii="Arial" w:hAnsi="Arial" w:cs="Arial"/>
                <w:sz w:val="20"/>
                <w:szCs w:val="20"/>
              </w:rPr>
            </w:pPr>
            <w:r>
              <w:rPr>
                <w:rFonts w:ascii="Arial" w:hAnsi="Arial" w:cs="Arial"/>
                <w:sz w:val="20"/>
                <w:szCs w:val="20"/>
              </w:rPr>
              <w:t>4.4 (9.7)</w:t>
            </w:r>
          </w:p>
        </w:tc>
        <w:tc>
          <w:tcPr>
            <w:tcW w:w="0" w:type="auto"/>
          </w:tcPr>
          <w:p w14:paraId="1C55752D" w14:textId="0323E7DB" w:rsidR="00003D6E" w:rsidRPr="008E1C7E" w:rsidRDefault="00015465" w:rsidP="006C56F4">
            <w:pPr>
              <w:spacing w:line="360" w:lineRule="auto"/>
              <w:rPr>
                <w:rFonts w:ascii="Arial" w:hAnsi="Arial" w:cs="Arial"/>
                <w:sz w:val="20"/>
                <w:szCs w:val="20"/>
              </w:rPr>
            </w:pPr>
            <w:r>
              <w:rPr>
                <w:rFonts w:ascii="Arial" w:hAnsi="Arial" w:cs="Arial"/>
                <w:sz w:val="20"/>
                <w:szCs w:val="20"/>
              </w:rPr>
              <w:t>48.6 (56.1)</w:t>
            </w:r>
          </w:p>
        </w:tc>
      </w:tr>
      <w:tr w:rsidR="00003D6E" w:rsidRPr="008E1C7E" w14:paraId="38BAD131" w14:textId="0983C31E" w:rsidTr="007877EC">
        <w:tc>
          <w:tcPr>
            <w:tcW w:w="0" w:type="auto"/>
          </w:tcPr>
          <w:p w14:paraId="0F3FB4BB" w14:textId="587F0D5D" w:rsidR="00003D6E" w:rsidRPr="008E1C7E" w:rsidRDefault="004F5C08" w:rsidP="006C56F4">
            <w:pPr>
              <w:spacing w:line="360" w:lineRule="auto"/>
              <w:rPr>
                <w:rFonts w:ascii="Arial" w:hAnsi="Arial" w:cs="Arial"/>
                <w:sz w:val="20"/>
                <w:szCs w:val="20"/>
              </w:rPr>
            </w:pPr>
            <w:r>
              <w:rPr>
                <w:rFonts w:ascii="Arial" w:hAnsi="Arial" w:cs="Arial"/>
                <w:sz w:val="20"/>
                <w:szCs w:val="20"/>
              </w:rPr>
              <w:t>Population with less than high school education</w:t>
            </w:r>
          </w:p>
        </w:tc>
        <w:tc>
          <w:tcPr>
            <w:tcW w:w="0" w:type="auto"/>
          </w:tcPr>
          <w:p w14:paraId="1A0528BA" w14:textId="1AB8882E" w:rsidR="00003D6E" w:rsidRPr="008E1C7E" w:rsidRDefault="00003D6E" w:rsidP="006C56F4">
            <w:pPr>
              <w:spacing w:line="360" w:lineRule="auto"/>
              <w:rPr>
                <w:rFonts w:ascii="Arial" w:hAnsi="Arial" w:cs="Arial"/>
                <w:sz w:val="20"/>
                <w:szCs w:val="20"/>
              </w:rPr>
            </w:pPr>
            <w:r>
              <w:rPr>
                <w:rFonts w:ascii="Arial" w:hAnsi="Arial" w:cs="Arial"/>
                <w:sz w:val="20"/>
                <w:szCs w:val="20"/>
              </w:rPr>
              <w:t>43.1 (</w:t>
            </w:r>
            <w:proofErr w:type="gramStart"/>
            <w:r>
              <w:rPr>
                <w:rFonts w:ascii="Arial" w:hAnsi="Arial" w:cs="Arial"/>
                <w:sz w:val="20"/>
                <w:szCs w:val="20"/>
              </w:rPr>
              <w:t>3.9)*</w:t>
            </w:r>
            <w:proofErr w:type="gramEnd"/>
            <w:r>
              <w:rPr>
                <w:rFonts w:ascii="Arial" w:hAnsi="Arial" w:cs="Arial"/>
                <w:sz w:val="20"/>
                <w:szCs w:val="20"/>
              </w:rPr>
              <w:t>*</w:t>
            </w:r>
          </w:p>
        </w:tc>
        <w:tc>
          <w:tcPr>
            <w:tcW w:w="0" w:type="auto"/>
          </w:tcPr>
          <w:p w14:paraId="52F8234A" w14:textId="1821B669" w:rsidR="00003D6E" w:rsidRPr="008E1C7E" w:rsidRDefault="00003D6E" w:rsidP="006C56F4">
            <w:pPr>
              <w:spacing w:line="360" w:lineRule="auto"/>
              <w:rPr>
                <w:rFonts w:ascii="Arial" w:hAnsi="Arial" w:cs="Arial"/>
                <w:sz w:val="20"/>
                <w:szCs w:val="20"/>
              </w:rPr>
            </w:pPr>
            <w:r>
              <w:rPr>
                <w:rFonts w:ascii="Arial" w:hAnsi="Arial" w:cs="Arial"/>
                <w:sz w:val="20"/>
                <w:szCs w:val="20"/>
              </w:rPr>
              <w:t>-24.7 (</w:t>
            </w:r>
            <w:proofErr w:type="gramStart"/>
            <w:r>
              <w:rPr>
                <w:rFonts w:ascii="Arial" w:hAnsi="Arial" w:cs="Arial"/>
                <w:sz w:val="20"/>
                <w:szCs w:val="20"/>
              </w:rPr>
              <w:t>2.0)*</w:t>
            </w:r>
            <w:proofErr w:type="gramEnd"/>
            <w:r>
              <w:rPr>
                <w:rFonts w:ascii="Arial" w:hAnsi="Arial" w:cs="Arial"/>
                <w:sz w:val="20"/>
                <w:szCs w:val="20"/>
              </w:rPr>
              <w:t>*</w:t>
            </w:r>
          </w:p>
        </w:tc>
        <w:tc>
          <w:tcPr>
            <w:tcW w:w="0" w:type="auto"/>
          </w:tcPr>
          <w:p w14:paraId="146E9ECF" w14:textId="5D171F40" w:rsidR="00003D6E" w:rsidRPr="008E1C7E" w:rsidRDefault="00003D6E" w:rsidP="006C56F4">
            <w:pPr>
              <w:spacing w:line="360" w:lineRule="auto"/>
              <w:rPr>
                <w:rFonts w:ascii="Arial" w:hAnsi="Arial" w:cs="Arial"/>
                <w:sz w:val="20"/>
                <w:szCs w:val="20"/>
              </w:rPr>
            </w:pPr>
            <w:r>
              <w:rPr>
                <w:rFonts w:ascii="Arial" w:hAnsi="Arial" w:cs="Arial"/>
                <w:sz w:val="20"/>
                <w:szCs w:val="20"/>
              </w:rPr>
              <w:t>7.1 (</w:t>
            </w:r>
            <w:proofErr w:type="gramStart"/>
            <w:r>
              <w:rPr>
                <w:rFonts w:ascii="Arial" w:hAnsi="Arial" w:cs="Arial"/>
                <w:sz w:val="20"/>
                <w:szCs w:val="20"/>
              </w:rPr>
              <w:t>3.4)*</w:t>
            </w:r>
            <w:proofErr w:type="gramEnd"/>
          </w:p>
        </w:tc>
        <w:tc>
          <w:tcPr>
            <w:tcW w:w="0" w:type="auto"/>
          </w:tcPr>
          <w:p w14:paraId="72CF2544" w14:textId="0A2A5E81" w:rsidR="00003D6E" w:rsidRPr="008E1C7E" w:rsidRDefault="001B1C60" w:rsidP="006C56F4">
            <w:pPr>
              <w:spacing w:line="360" w:lineRule="auto"/>
              <w:rPr>
                <w:rFonts w:ascii="Arial" w:hAnsi="Arial" w:cs="Arial"/>
                <w:sz w:val="20"/>
                <w:szCs w:val="20"/>
              </w:rPr>
            </w:pPr>
            <w:r>
              <w:rPr>
                <w:rFonts w:ascii="Arial" w:hAnsi="Arial" w:cs="Arial"/>
                <w:sz w:val="20"/>
                <w:szCs w:val="20"/>
              </w:rPr>
              <w:t>-1.3 (0.8)</w:t>
            </w:r>
          </w:p>
        </w:tc>
        <w:tc>
          <w:tcPr>
            <w:tcW w:w="0" w:type="auto"/>
          </w:tcPr>
          <w:p w14:paraId="0FD59924" w14:textId="5F901A16" w:rsidR="00003D6E" w:rsidRPr="008E1C7E" w:rsidRDefault="00003D6E" w:rsidP="006C56F4">
            <w:pPr>
              <w:spacing w:line="360" w:lineRule="auto"/>
              <w:rPr>
                <w:rFonts w:ascii="Arial" w:hAnsi="Arial" w:cs="Arial"/>
                <w:sz w:val="20"/>
                <w:szCs w:val="20"/>
              </w:rPr>
            </w:pPr>
            <w:r>
              <w:rPr>
                <w:rFonts w:ascii="Arial" w:hAnsi="Arial" w:cs="Arial"/>
                <w:sz w:val="20"/>
                <w:szCs w:val="20"/>
              </w:rPr>
              <w:t>-21.0 (</w:t>
            </w:r>
            <w:proofErr w:type="gramStart"/>
            <w:r>
              <w:rPr>
                <w:rFonts w:ascii="Arial" w:hAnsi="Arial" w:cs="Arial"/>
                <w:sz w:val="20"/>
                <w:szCs w:val="20"/>
              </w:rPr>
              <w:t>1.3)*</w:t>
            </w:r>
            <w:proofErr w:type="gramEnd"/>
            <w:r>
              <w:rPr>
                <w:rFonts w:ascii="Arial" w:hAnsi="Arial" w:cs="Arial"/>
                <w:sz w:val="20"/>
                <w:szCs w:val="20"/>
              </w:rPr>
              <w:t>*</w:t>
            </w:r>
          </w:p>
        </w:tc>
        <w:tc>
          <w:tcPr>
            <w:tcW w:w="0" w:type="auto"/>
          </w:tcPr>
          <w:p w14:paraId="1060C23D" w14:textId="1FF659FF" w:rsidR="00003D6E" w:rsidRPr="008E1C7E" w:rsidRDefault="00C13217" w:rsidP="006C56F4">
            <w:pPr>
              <w:spacing w:line="360" w:lineRule="auto"/>
              <w:rPr>
                <w:rFonts w:ascii="Arial" w:hAnsi="Arial" w:cs="Arial"/>
                <w:sz w:val="20"/>
                <w:szCs w:val="20"/>
              </w:rPr>
            </w:pPr>
            <w:r>
              <w:rPr>
                <w:rFonts w:ascii="Arial" w:hAnsi="Arial" w:cs="Arial"/>
                <w:sz w:val="20"/>
                <w:szCs w:val="20"/>
              </w:rPr>
              <w:t>-5.2 (</w:t>
            </w:r>
            <w:proofErr w:type="gramStart"/>
            <w:r>
              <w:rPr>
                <w:rFonts w:ascii="Arial" w:hAnsi="Arial" w:cs="Arial"/>
                <w:sz w:val="20"/>
                <w:szCs w:val="20"/>
              </w:rPr>
              <w:t>1.2)*</w:t>
            </w:r>
            <w:proofErr w:type="gramEnd"/>
            <w:r>
              <w:rPr>
                <w:rFonts w:ascii="Arial" w:hAnsi="Arial" w:cs="Arial"/>
                <w:sz w:val="20"/>
                <w:szCs w:val="20"/>
              </w:rPr>
              <w:t>*</w:t>
            </w:r>
          </w:p>
        </w:tc>
        <w:tc>
          <w:tcPr>
            <w:tcW w:w="0" w:type="auto"/>
          </w:tcPr>
          <w:p w14:paraId="6B084E90" w14:textId="66FB2CD9" w:rsidR="00003D6E" w:rsidRPr="008E1C7E" w:rsidRDefault="00957BEC" w:rsidP="006C56F4">
            <w:pPr>
              <w:spacing w:line="360" w:lineRule="auto"/>
              <w:rPr>
                <w:rFonts w:ascii="Arial" w:hAnsi="Arial" w:cs="Arial"/>
                <w:sz w:val="20"/>
                <w:szCs w:val="20"/>
              </w:rPr>
            </w:pPr>
            <w:r>
              <w:rPr>
                <w:rFonts w:ascii="Arial" w:hAnsi="Arial" w:cs="Arial"/>
                <w:sz w:val="20"/>
                <w:szCs w:val="20"/>
              </w:rPr>
              <w:t>38.7 (</w:t>
            </w:r>
            <w:proofErr w:type="gramStart"/>
            <w:r>
              <w:rPr>
                <w:rFonts w:ascii="Arial" w:hAnsi="Arial" w:cs="Arial"/>
                <w:sz w:val="20"/>
                <w:szCs w:val="20"/>
              </w:rPr>
              <w:t>7.6)*</w:t>
            </w:r>
            <w:proofErr w:type="gramEnd"/>
            <w:r>
              <w:rPr>
                <w:rFonts w:ascii="Arial" w:hAnsi="Arial" w:cs="Arial"/>
                <w:sz w:val="20"/>
                <w:szCs w:val="20"/>
              </w:rPr>
              <w:t>*</w:t>
            </w:r>
          </w:p>
        </w:tc>
        <w:tc>
          <w:tcPr>
            <w:tcW w:w="0" w:type="auto"/>
          </w:tcPr>
          <w:p w14:paraId="7784A2EA" w14:textId="13827475" w:rsidR="00003D6E" w:rsidRPr="008E1C7E" w:rsidRDefault="00015465" w:rsidP="006C56F4">
            <w:pPr>
              <w:spacing w:line="360" w:lineRule="auto"/>
              <w:rPr>
                <w:rFonts w:ascii="Arial" w:hAnsi="Arial" w:cs="Arial"/>
                <w:sz w:val="20"/>
                <w:szCs w:val="20"/>
              </w:rPr>
            </w:pPr>
            <w:r>
              <w:rPr>
                <w:rFonts w:ascii="Arial" w:hAnsi="Arial" w:cs="Arial"/>
                <w:sz w:val="20"/>
                <w:szCs w:val="20"/>
              </w:rPr>
              <w:t>56.4 (50.2)</w:t>
            </w:r>
          </w:p>
        </w:tc>
      </w:tr>
      <w:tr w:rsidR="00003D6E" w:rsidRPr="008E1C7E" w14:paraId="2FA88201" w14:textId="385A0EC2" w:rsidTr="007877EC">
        <w:tc>
          <w:tcPr>
            <w:tcW w:w="0" w:type="auto"/>
          </w:tcPr>
          <w:p w14:paraId="065622DC"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Population Black</w:t>
            </w:r>
          </w:p>
        </w:tc>
        <w:tc>
          <w:tcPr>
            <w:tcW w:w="0" w:type="auto"/>
          </w:tcPr>
          <w:p w14:paraId="3184033A" w14:textId="205DC041" w:rsidR="00003D6E" w:rsidRPr="008E1C7E" w:rsidRDefault="00003D6E" w:rsidP="006C56F4">
            <w:pPr>
              <w:spacing w:line="360" w:lineRule="auto"/>
              <w:rPr>
                <w:rFonts w:ascii="Arial" w:hAnsi="Arial" w:cs="Arial"/>
                <w:sz w:val="20"/>
                <w:szCs w:val="20"/>
              </w:rPr>
            </w:pPr>
            <w:r>
              <w:rPr>
                <w:rFonts w:ascii="Arial" w:hAnsi="Arial" w:cs="Arial"/>
                <w:sz w:val="20"/>
                <w:szCs w:val="20"/>
              </w:rPr>
              <w:t>-67.8 (</w:t>
            </w:r>
            <w:proofErr w:type="gramStart"/>
            <w:r>
              <w:rPr>
                <w:rFonts w:ascii="Arial" w:hAnsi="Arial" w:cs="Arial"/>
                <w:sz w:val="20"/>
                <w:szCs w:val="20"/>
              </w:rPr>
              <w:t>29.0)*</w:t>
            </w:r>
            <w:proofErr w:type="gramEnd"/>
          </w:p>
        </w:tc>
        <w:tc>
          <w:tcPr>
            <w:tcW w:w="0" w:type="auto"/>
          </w:tcPr>
          <w:p w14:paraId="307C8F7A" w14:textId="7E09B171" w:rsidR="00003D6E" w:rsidRPr="008E1C7E" w:rsidRDefault="00003D6E" w:rsidP="006C56F4">
            <w:pPr>
              <w:spacing w:line="360" w:lineRule="auto"/>
              <w:rPr>
                <w:rFonts w:ascii="Arial" w:hAnsi="Arial" w:cs="Arial"/>
                <w:sz w:val="20"/>
                <w:szCs w:val="20"/>
              </w:rPr>
            </w:pPr>
            <w:r>
              <w:rPr>
                <w:rFonts w:ascii="Arial" w:hAnsi="Arial" w:cs="Arial"/>
                <w:sz w:val="20"/>
                <w:szCs w:val="20"/>
              </w:rPr>
              <w:t>-17.8 (15.7)</w:t>
            </w:r>
          </w:p>
        </w:tc>
        <w:tc>
          <w:tcPr>
            <w:tcW w:w="0" w:type="auto"/>
          </w:tcPr>
          <w:p w14:paraId="35991922" w14:textId="5AB30FE3" w:rsidR="00003D6E" w:rsidRPr="008E1C7E" w:rsidRDefault="00003D6E" w:rsidP="006C56F4">
            <w:pPr>
              <w:spacing w:line="360" w:lineRule="auto"/>
              <w:rPr>
                <w:rFonts w:ascii="Arial" w:hAnsi="Arial" w:cs="Arial"/>
                <w:sz w:val="20"/>
                <w:szCs w:val="20"/>
              </w:rPr>
            </w:pPr>
            <w:r>
              <w:rPr>
                <w:rFonts w:ascii="Arial" w:hAnsi="Arial" w:cs="Arial"/>
                <w:sz w:val="20"/>
                <w:szCs w:val="20"/>
              </w:rPr>
              <w:t>62.7 (</w:t>
            </w:r>
            <w:proofErr w:type="gramStart"/>
            <w:r>
              <w:rPr>
                <w:rFonts w:ascii="Arial" w:hAnsi="Arial" w:cs="Arial"/>
                <w:sz w:val="20"/>
                <w:szCs w:val="20"/>
              </w:rPr>
              <w:t>26.5)*</w:t>
            </w:r>
            <w:proofErr w:type="gramEnd"/>
          </w:p>
        </w:tc>
        <w:tc>
          <w:tcPr>
            <w:tcW w:w="0" w:type="auto"/>
          </w:tcPr>
          <w:p w14:paraId="4D65F0B6" w14:textId="6FF313DB" w:rsidR="00003D6E" w:rsidRPr="008E1C7E" w:rsidRDefault="001B1C60" w:rsidP="006C56F4">
            <w:pPr>
              <w:spacing w:line="360" w:lineRule="auto"/>
              <w:rPr>
                <w:rFonts w:ascii="Arial" w:hAnsi="Arial" w:cs="Arial"/>
                <w:sz w:val="20"/>
                <w:szCs w:val="20"/>
              </w:rPr>
            </w:pPr>
            <w:r>
              <w:rPr>
                <w:rFonts w:ascii="Arial" w:hAnsi="Arial" w:cs="Arial"/>
                <w:sz w:val="20"/>
                <w:szCs w:val="20"/>
              </w:rPr>
              <w:t>44.4 (</w:t>
            </w:r>
            <w:proofErr w:type="gramStart"/>
            <w:r>
              <w:rPr>
                <w:rFonts w:ascii="Arial" w:hAnsi="Arial" w:cs="Arial"/>
                <w:sz w:val="20"/>
                <w:szCs w:val="20"/>
              </w:rPr>
              <w:t>6.9)*</w:t>
            </w:r>
            <w:proofErr w:type="gramEnd"/>
            <w:r>
              <w:rPr>
                <w:rFonts w:ascii="Arial" w:hAnsi="Arial" w:cs="Arial"/>
                <w:sz w:val="20"/>
                <w:szCs w:val="20"/>
              </w:rPr>
              <w:t>*</w:t>
            </w:r>
          </w:p>
        </w:tc>
        <w:tc>
          <w:tcPr>
            <w:tcW w:w="0" w:type="auto"/>
          </w:tcPr>
          <w:p w14:paraId="5AD05B45" w14:textId="3645A219" w:rsidR="00003D6E" w:rsidRPr="008E1C7E" w:rsidRDefault="00003D6E" w:rsidP="006C56F4">
            <w:pPr>
              <w:spacing w:line="360" w:lineRule="auto"/>
              <w:rPr>
                <w:rFonts w:ascii="Arial" w:hAnsi="Arial" w:cs="Arial"/>
                <w:sz w:val="20"/>
                <w:szCs w:val="20"/>
              </w:rPr>
            </w:pPr>
            <w:r>
              <w:rPr>
                <w:rFonts w:ascii="Arial" w:hAnsi="Arial" w:cs="Arial"/>
                <w:sz w:val="20"/>
                <w:szCs w:val="20"/>
              </w:rPr>
              <w:t>-23.1 (</w:t>
            </w:r>
            <w:proofErr w:type="gramStart"/>
            <w:r>
              <w:rPr>
                <w:rFonts w:ascii="Arial" w:hAnsi="Arial" w:cs="Arial"/>
                <w:sz w:val="20"/>
                <w:szCs w:val="20"/>
              </w:rPr>
              <w:t>8.9)*</w:t>
            </w:r>
            <w:proofErr w:type="gramEnd"/>
            <w:r>
              <w:rPr>
                <w:rFonts w:ascii="Arial" w:hAnsi="Arial" w:cs="Arial"/>
                <w:sz w:val="20"/>
                <w:szCs w:val="20"/>
              </w:rPr>
              <w:t>*</w:t>
            </w:r>
          </w:p>
        </w:tc>
        <w:tc>
          <w:tcPr>
            <w:tcW w:w="0" w:type="auto"/>
          </w:tcPr>
          <w:p w14:paraId="064A4827" w14:textId="27941FF5" w:rsidR="00003D6E" w:rsidRPr="008E1C7E" w:rsidRDefault="00C13217" w:rsidP="006C56F4">
            <w:pPr>
              <w:spacing w:line="360" w:lineRule="auto"/>
              <w:rPr>
                <w:rFonts w:ascii="Arial" w:hAnsi="Arial" w:cs="Arial"/>
                <w:sz w:val="20"/>
                <w:szCs w:val="20"/>
              </w:rPr>
            </w:pPr>
            <w:r>
              <w:rPr>
                <w:rFonts w:ascii="Arial" w:hAnsi="Arial" w:cs="Arial"/>
                <w:sz w:val="20"/>
                <w:szCs w:val="20"/>
              </w:rPr>
              <w:t>38.8 (</w:t>
            </w:r>
            <w:proofErr w:type="gramStart"/>
            <w:r>
              <w:rPr>
                <w:rFonts w:ascii="Arial" w:hAnsi="Arial" w:cs="Arial"/>
                <w:sz w:val="20"/>
                <w:szCs w:val="20"/>
              </w:rPr>
              <w:t>8.0)*</w:t>
            </w:r>
            <w:proofErr w:type="gramEnd"/>
            <w:r>
              <w:rPr>
                <w:rFonts w:ascii="Arial" w:hAnsi="Arial" w:cs="Arial"/>
                <w:sz w:val="20"/>
                <w:szCs w:val="20"/>
              </w:rPr>
              <w:t>*</w:t>
            </w:r>
          </w:p>
        </w:tc>
        <w:tc>
          <w:tcPr>
            <w:tcW w:w="0" w:type="auto"/>
          </w:tcPr>
          <w:p w14:paraId="6ABEAABA" w14:textId="4CF4732C" w:rsidR="00003D6E" w:rsidRPr="008E1C7E" w:rsidRDefault="00957BEC" w:rsidP="006C56F4">
            <w:pPr>
              <w:spacing w:line="360" w:lineRule="auto"/>
              <w:rPr>
                <w:rFonts w:ascii="Arial" w:hAnsi="Arial" w:cs="Arial"/>
                <w:sz w:val="20"/>
                <w:szCs w:val="20"/>
              </w:rPr>
            </w:pPr>
            <w:r>
              <w:rPr>
                <w:rFonts w:ascii="Arial" w:hAnsi="Arial" w:cs="Arial"/>
                <w:sz w:val="20"/>
                <w:szCs w:val="20"/>
              </w:rPr>
              <w:t>152.8 (</w:t>
            </w:r>
            <w:proofErr w:type="gramStart"/>
            <w:r>
              <w:rPr>
                <w:rFonts w:ascii="Arial" w:hAnsi="Arial" w:cs="Arial"/>
                <w:sz w:val="20"/>
                <w:szCs w:val="20"/>
              </w:rPr>
              <w:t>42.7)*</w:t>
            </w:r>
            <w:proofErr w:type="gramEnd"/>
            <w:r>
              <w:rPr>
                <w:rFonts w:ascii="Arial" w:hAnsi="Arial" w:cs="Arial"/>
                <w:sz w:val="20"/>
                <w:szCs w:val="20"/>
              </w:rPr>
              <w:t>*</w:t>
            </w:r>
          </w:p>
        </w:tc>
        <w:tc>
          <w:tcPr>
            <w:tcW w:w="0" w:type="auto"/>
          </w:tcPr>
          <w:p w14:paraId="3C308693" w14:textId="28B4680A" w:rsidR="00003D6E" w:rsidRPr="008E1C7E" w:rsidRDefault="00015465" w:rsidP="006C56F4">
            <w:pPr>
              <w:spacing w:line="360" w:lineRule="auto"/>
              <w:rPr>
                <w:rFonts w:ascii="Arial" w:hAnsi="Arial" w:cs="Arial"/>
                <w:sz w:val="20"/>
                <w:szCs w:val="20"/>
              </w:rPr>
            </w:pPr>
            <w:r>
              <w:rPr>
                <w:rFonts w:ascii="Arial" w:hAnsi="Arial" w:cs="Arial"/>
                <w:sz w:val="20"/>
                <w:szCs w:val="20"/>
              </w:rPr>
              <w:t>799.5 (</w:t>
            </w:r>
            <w:proofErr w:type="gramStart"/>
            <w:r>
              <w:rPr>
                <w:rFonts w:ascii="Arial" w:hAnsi="Arial" w:cs="Arial"/>
                <w:sz w:val="20"/>
                <w:szCs w:val="20"/>
              </w:rPr>
              <w:t>279.4)*</w:t>
            </w:r>
            <w:proofErr w:type="gramEnd"/>
            <w:r>
              <w:rPr>
                <w:rFonts w:ascii="Arial" w:hAnsi="Arial" w:cs="Arial"/>
                <w:sz w:val="20"/>
                <w:szCs w:val="20"/>
              </w:rPr>
              <w:t>*</w:t>
            </w:r>
          </w:p>
        </w:tc>
      </w:tr>
      <w:tr w:rsidR="00003D6E" w:rsidRPr="008E1C7E" w14:paraId="088EF8F1" w14:textId="5D220938" w:rsidTr="007877EC">
        <w:tc>
          <w:tcPr>
            <w:tcW w:w="0" w:type="auto"/>
          </w:tcPr>
          <w:p w14:paraId="6E90316F"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Population Hispanic</w:t>
            </w:r>
          </w:p>
        </w:tc>
        <w:tc>
          <w:tcPr>
            <w:tcW w:w="0" w:type="auto"/>
          </w:tcPr>
          <w:p w14:paraId="2CC55DB2" w14:textId="523B2E93" w:rsidR="00003D6E" w:rsidRPr="008E1C7E" w:rsidRDefault="00003D6E" w:rsidP="006C56F4">
            <w:pPr>
              <w:spacing w:line="360" w:lineRule="auto"/>
              <w:rPr>
                <w:rFonts w:ascii="Arial" w:hAnsi="Arial" w:cs="Arial"/>
                <w:sz w:val="20"/>
                <w:szCs w:val="20"/>
              </w:rPr>
            </w:pPr>
            <w:r>
              <w:rPr>
                <w:rFonts w:ascii="Arial" w:hAnsi="Arial" w:cs="Arial"/>
                <w:sz w:val="20"/>
                <w:szCs w:val="20"/>
              </w:rPr>
              <w:t>108.5 (</w:t>
            </w:r>
            <w:proofErr w:type="gramStart"/>
            <w:r>
              <w:rPr>
                <w:rFonts w:ascii="Arial" w:hAnsi="Arial" w:cs="Arial"/>
                <w:sz w:val="20"/>
                <w:szCs w:val="20"/>
              </w:rPr>
              <w:t>15.3)*</w:t>
            </w:r>
            <w:proofErr w:type="gramEnd"/>
            <w:r>
              <w:rPr>
                <w:rFonts w:ascii="Arial" w:hAnsi="Arial" w:cs="Arial"/>
                <w:sz w:val="20"/>
                <w:szCs w:val="20"/>
              </w:rPr>
              <w:t>*</w:t>
            </w:r>
          </w:p>
        </w:tc>
        <w:tc>
          <w:tcPr>
            <w:tcW w:w="0" w:type="auto"/>
          </w:tcPr>
          <w:p w14:paraId="2AA83E92" w14:textId="56C8B1DD" w:rsidR="00003D6E" w:rsidRPr="008E1C7E" w:rsidRDefault="00003D6E" w:rsidP="006C56F4">
            <w:pPr>
              <w:spacing w:line="360" w:lineRule="auto"/>
              <w:rPr>
                <w:rFonts w:ascii="Arial" w:hAnsi="Arial" w:cs="Arial"/>
                <w:sz w:val="20"/>
                <w:szCs w:val="20"/>
              </w:rPr>
            </w:pPr>
            <w:r>
              <w:rPr>
                <w:rFonts w:ascii="Arial" w:hAnsi="Arial" w:cs="Arial"/>
                <w:sz w:val="20"/>
                <w:szCs w:val="20"/>
              </w:rPr>
              <w:t>-49.4 (</w:t>
            </w:r>
            <w:proofErr w:type="gramStart"/>
            <w:r>
              <w:rPr>
                <w:rFonts w:ascii="Arial" w:hAnsi="Arial" w:cs="Arial"/>
                <w:sz w:val="20"/>
                <w:szCs w:val="20"/>
              </w:rPr>
              <w:t>7.1)*</w:t>
            </w:r>
            <w:proofErr w:type="gramEnd"/>
            <w:r>
              <w:rPr>
                <w:rFonts w:ascii="Arial" w:hAnsi="Arial" w:cs="Arial"/>
                <w:sz w:val="20"/>
                <w:szCs w:val="20"/>
              </w:rPr>
              <w:t>*</w:t>
            </w:r>
          </w:p>
        </w:tc>
        <w:tc>
          <w:tcPr>
            <w:tcW w:w="0" w:type="auto"/>
          </w:tcPr>
          <w:p w14:paraId="137536C4" w14:textId="27D3BA39" w:rsidR="00003D6E" w:rsidRPr="008E1C7E" w:rsidRDefault="00003D6E" w:rsidP="006C56F4">
            <w:pPr>
              <w:spacing w:line="360" w:lineRule="auto"/>
              <w:rPr>
                <w:rFonts w:ascii="Arial" w:hAnsi="Arial" w:cs="Arial"/>
                <w:sz w:val="20"/>
                <w:szCs w:val="20"/>
              </w:rPr>
            </w:pPr>
            <w:r>
              <w:rPr>
                <w:rFonts w:ascii="Arial" w:hAnsi="Arial" w:cs="Arial"/>
                <w:sz w:val="20"/>
                <w:szCs w:val="20"/>
              </w:rPr>
              <w:t>74.7 (</w:t>
            </w:r>
            <w:proofErr w:type="gramStart"/>
            <w:r>
              <w:rPr>
                <w:rFonts w:ascii="Arial" w:hAnsi="Arial" w:cs="Arial"/>
                <w:sz w:val="20"/>
                <w:szCs w:val="20"/>
              </w:rPr>
              <w:t>15.7)*</w:t>
            </w:r>
            <w:proofErr w:type="gramEnd"/>
            <w:r>
              <w:rPr>
                <w:rFonts w:ascii="Arial" w:hAnsi="Arial" w:cs="Arial"/>
                <w:sz w:val="20"/>
                <w:szCs w:val="20"/>
              </w:rPr>
              <w:t>*</w:t>
            </w:r>
          </w:p>
        </w:tc>
        <w:tc>
          <w:tcPr>
            <w:tcW w:w="0" w:type="auto"/>
          </w:tcPr>
          <w:p w14:paraId="12C2BADF" w14:textId="6D901739" w:rsidR="00003D6E" w:rsidRPr="008E1C7E" w:rsidRDefault="001B1C60" w:rsidP="006C56F4">
            <w:pPr>
              <w:spacing w:line="360" w:lineRule="auto"/>
              <w:rPr>
                <w:rFonts w:ascii="Arial" w:hAnsi="Arial" w:cs="Arial"/>
                <w:sz w:val="20"/>
                <w:szCs w:val="20"/>
              </w:rPr>
            </w:pPr>
            <w:r>
              <w:rPr>
                <w:rFonts w:ascii="Arial" w:hAnsi="Arial" w:cs="Arial"/>
                <w:sz w:val="20"/>
                <w:szCs w:val="20"/>
              </w:rPr>
              <w:t>-37.4 (</w:t>
            </w:r>
            <w:proofErr w:type="gramStart"/>
            <w:r>
              <w:rPr>
                <w:rFonts w:ascii="Arial" w:hAnsi="Arial" w:cs="Arial"/>
                <w:sz w:val="20"/>
                <w:szCs w:val="20"/>
              </w:rPr>
              <w:t>3.5)*</w:t>
            </w:r>
            <w:proofErr w:type="gramEnd"/>
            <w:r>
              <w:rPr>
                <w:rFonts w:ascii="Arial" w:hAnsi="Arial" w:cs="Arial"/>
                <w:sz w:val="20"/>
                <w:szCs w:val="20"/>
              </w:rPr>
              <w:t>*</w:t>
            </w:r>
          </w:p>
        </w:tc>
        <w:tc>
          <w:tcPr>
            <w:tcW w:w="0" w:type="auto"/>
          </w:tcPr>
          <w:p w14:paraId="5387C34B" w14:textId="28686656" w:rsidR="00003D6E" w:rsidRPr="008E1C7E" w:rsidRDefault="00003D6E" w:rsidP="006C56F4">
            <w:pPr>
              <w:spacing w:line="360" w:lineRule="auto"/>
              <w:rPr>
                <w:rFonts w:ascii="Arial" w:hAnsi="Arial" w:cs="Arial"/>
                <w:sz w:val="20"/>
                <w:szCs w:val="20"/>
              </w:rPr>
            </w:pPr>
            <w:r>
              <w:rPr>
                <w:rFonts w:ascii="Arial" w:hAnsi="Arial" w:cs="Arial"/>
                <w:sz w:val="20"/>
                <w:szCs w:val="20"/>
              </w:rPr>
              <w:t>-50.8 (</w:t>
            </w:r>
            <w:proofErr w:type="gramStart"/>
            <w:r>
              <w:rPr>
                <w:rFonts w:ascii="Arial" w:hAnsi="Arial" w:cs="Arial"/>
                <w:sz w:val="20"/>
                <w:szCs w:val="20"/>
              </w:rPr>
              <w:t>5.1)*</w:t>
            </w:r>
            <w:proofErr w:type="gramEnd"/>
            <w:r>
              <w:rPr>
                <w:rFonts w:ascii="Arial" w:hAnsi="Arial" w:cs="Arial"/>
                <w:sz w:val="20"/>
                <w:szCs w:val="20"/>
              </w:rPr>
              <w:t>*</w:t>
            </w:r>
          </w:p>
        </w:tc>
        <w:tc>
          <w:tcPr>
            <w:tcW w:w="0" w:type="auto"/>
          </w:tcPr>
          <w:p w14:paraId="1A5BFCA0" w14:textId="6CE276F9" w:rsidR="00003D6E" w:rsidRPr="008E1C7E" w:rsidRDefault="00C13217" w:rsidP="006C56F4">
            <w:pPr>
              <w:spacing w:line="360" w:lineRule="auto"/>
              <w:rPr>
                <w:rFonts w:ascii="Arial" w:hAnsi="Arial" w:cs="Arial"/>
                <w:sz w:val="20"/>
                <w:szCs w:val="20"/>
              </w:rPr>
            </w:pPr>
            <w:r>
              <w:rPr>
                <w:rFonts w:ascii="Arial" w:hAnsi="Arial" w:cs="Arial"/>
                <w:sz w:val="20"/>
                <w:szCs w:val="20"/>
              </w:rPr>
              <w:t>-42.6 (3.4)</w:t>
            </w:r>
          </w:p>
        </w:tc>
        <w:tc>
          <w:tcPr>
            <w:tcW w:w="0" w:type="auto"/>
          </w:tcPr>
          <w:p w14:paraId="55F73A93" w14:textId="55B1ACA5" w:rsidR="00003D6E" w:rsidRPr="008E1C7E" w:rsidRDefault="00957BEC" w:rsidP="006C56F4">
            <w:pPr>
              <w:spacing w:line="360" w:lineRule="auto"/>
              <w:rPr>
                <w:rFonts w:ascii="Arial" w:hAnsi="Arial" w:cs="Arial"/>
                <w:sz w:val="20"/>
                <w:szCs w:val="20"/>
              </w:rPr>
            </w:pPr>
            <w:r>
              <w:rPr>
                <w:rFonts w:ascii="Arial" w:hAnsi="Arial" w:cs="Arial"/>
                <w:sz w:val="20"/>
                <w:szCs w:val="20"/>
              </w:rPr>
              <w:t>131.0 (</w:t>
            </w:r>
            <w:proofErr w:type="gramStart"/>
            <w:r>
              <w:rPr>
                <w:rFonts w:ascii="Arial" w:hAnsi="Arial" w:cs="Arial"/>
                <w:sz w:val="20"/>
                <w:szCs w:val="20"/>
              </w:rPr>
              <w:t>22.3)*</w:t>
            </w:r>
            <w:proofErr w:type="gramEnd"/>
            <w:r>
              <w:rPr>
                <w:rFonts w:ascii="Arial" w:hAnsi="Arial" w:cs="Arial"/>
                <w:sz w:val="20"/>
                <w:szCs w:val="20"/>
              </w:rPr>
              <w:t>*</w:t>
            </w:r>
          </w:p>
        </w:tc>
        <w:tc>
          <w:tcPr>
            <w:tcW w:w="0" w:type="auto"/>
          </w:tcPr>
          <w:p w14:paraId="2F9FD831" w14:textId="3FEED885" w:rsidR="00003D6E" w:rsidRPr="008E1C7E" w:rsidRDefault="00015465" w:rsidP="006C56F4">
            <w:pPr>
              <w:spacing w:line="360" w:lineRule="auto"/>
              <w:rPr>
                <w:rFonts w:ascii="Arial" w:hAnsi="Arial" w:cs="Arial"/>
                <w:sz w:val="20"/>
                <w:szCs w:val="20"/>
              </w:rPr>
            </w:pPr>
            <w:r>
              <w:rPr>
                <w:rFonts w:ascii="Arial" w:hAnsi="Arial" w:cs="Arial"/>
                <w:sz w:val="20"/>
                <w:szCs w:val="20"/>
              </w:rPr>
              <w:t>-1.306.1 (</w:t>
            </w:r>
            <w:proofErr w:type="gramStart"/>
            <w:r>
              <w:rPr>
                <w:rFonts w:ascii="Arial" w:hAnsi="Arial" w:cs="Arial"/>
                <w:sz w:val="20"/>
                <w:szCs w:val="20"/>
              </w:rPr>
              <w:t>174.1)*</w:t>
            </w:r>
            <w:proofErr w:type="gramEnd"/>
            <w:r>
              <w:rPr>
                <w:rFonts w:ascii="Arial" w:hAnsi="Arial" w:cs="Arial"/>
                <w:sz w:val="20"/>
                <w:szCs w:val="20"/>
              </w:rPr>
              <w:t>*</w:t>
            </w:r>
          </w:p>
        </w:tc>
      </w:tr>
      <w:tr w:rsidR="00003D6E" w:rsidRPr="008E1C7E" w14:paraId="10296E2F" w14:textId="1451463A" w:rsidTr="007877EC">
        <w:tc>
          <w:tcPr>
            <w:tcW w:w="0" w:type="auto"/>
          </w:tcPr>
          <w:p w14:paraId="6FF0D95D"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Unemployment rate</w:t>
            </w:r>
          </w:p>
        </w:tc>
        <w:tc>
          <w:tcPr>
            <w:tcW w:w="0" w:type="auto"/>
          </w:tcPr>
          <w:p w14:paraId="05CFBE3F" w14:textId="68C3FA5D" w:rsidR="00003D6E" w:rsidRPr="008E1C7E" w:rsidRDefault="00003D6E" w:rsidP="006C56F4">
            <w:pPr>
              <w:spacing w:line="360" w:lineRule="auto"/>
              <w:rPr>
                <w:rFonts w:ascii="Arial" w:hAnsi="Arial" w:cs="Arial"/>
                <w:sz w:val="20"/>
                <w:szCs w:val="20"/>
              </w:rPr>
            </w:pPr>
            <w:r>
              <w:rPr>
                <w:rFonts w:ascii="Arial" w:hAnsi="Arial" w:cs="Arial"/>
                <w:sz w:val="20"/>
                <w:szCs w:val="20"/>
              </w:rPr>
              <w:t>5.4 (</w:t>
            </w:r>
            <w:proofErr w:type="gramStart"/>
            <w:r>
              <w:rPr>
                <w:rFonts w:ascii="Arial" w:hAnsi="Arial" w:cs="Arial"/>
                <w:sz w:val="20"/>
                <w:szCs w:val="20"/>
              </w:rPr>
              <w:t>1.1)*</w:t>
            </w:r>
            <w:proofErr w:type="gramEnd"/>
            <w:r>
              <w:rPr>
                <w:rFonts w:ascii="Arial" w:hAnsi="Arial" w:cs="Arial"/>
                <w:sz w:val="20"/>
                <w:szCs w:val="20"/>
              </w:rPr>
              <w:t>*</w:t>
            </w:r>
          </w:p>
        </w:tc>
        <w:tc>
          <w:tcPr>
            <w:tcW w:w="0" w:type="auto"/>
          </w:tcPr>
          <w:p w14:paraId="0DC23B4D" w14:textId="17F6A23A" w:rsidR="00003D6E" w:rsidRPr="008E1C7E" w:rsidRDefault="00003D6E" w:rsidP="006C56F4">
            <w:pPr>
              <w:spacing w:line="360" w:lineRule="auto"/>
              <w:rPr>
                <w:rFonts w:ascii="Arial" w:hAnsi="Arial" w:cs="Arial"/>
                <w:sz w:val="20"/>
                <w:szCs w:val="20"/>
              </w:rPr>
            </w:pPr>
            <w:r>
              <w:rPr>
                <w:rFonts w:ascii="Arial" w:hAnsi="Arial" w:cs="Arial"/>
                <w:sz w:val="20"/>
                <w:szCs w:val="20"/>
              </w:rPr>
              <w:t>-2.8 (</w:t>
            </w:r>
            <w:proofErr w:type="gramStart"/>
            <w:r>
              <w:rPr>
                <w:rFonts w:ascii="Arial" w:hAnsi="Arial" w:cs="Arial"/>
                <w:sz w:val="20"/>
                <w:szCs w:val="20"/>
              </w:rPr>
              <w:t>0.6)*</w:t>
            </w:r>
            <w:proofErr w:type="gramEnd"/>
            <w:r>
              <w:rPr>
                <w:rFonts w:ascii="Arial" w:hAnsi="Arial" w:cs="Arial"/>
                <w:sz w:val="20"/>
                <w:szCs w:val="20"/>
              </w:rPr>
              <w:t>*</w:t>
            </w:r>
          </w:p>
        </w:tc>
        <w:tc>
          <w:tcPr>
            <w:tcW w:w="0" w:type="auto"/>
          </w:tcPr>
          <w:p w14:paraId="6F69A63A" w14:textId="3124A38C" w:rsidR="00003D6E" w:rsidRPr="008E1C7E" w:rsidRDefault="00003D6E" w:rsidP="006C56F4">
            <w:pPr>
              <w:spacing w:line="360" w:lineRule="auto"/>
              <w:rPr>
                <w:rFonts w:ascii="Arial" w:hAnsi="Arial" w:cs="Arial"/>
                <w:sz w:val="20"/>
                <w:szCs w:val="20"/>
              </w:rPr>
            </w:pPr>
            <w:r>
              <w:rPr>
                <w:rFonts w:ascii="Arial" w:hAnsi="Arial" w:cs="Arial"/>
                <w:sz w:val="20"/>
                <w:szCs w:val="20"/>
              </w:rPr>
              <w:t>-5.5 (</w:t>
            </w:r>
            <w:proofErr w:type="gramStart"/>
            <w:r>
              <w:rPr>
                <w:rFonts w:ascii="Arial" w:hAnsi="Arial" w:cs="Arial"/>
                <w:sz w:val="20"/>
                <w:szCs w:val="20"/>
              </w:rPr>
              <w:t>1.4)*</w:t>
            </w:r>
            <w:proofErr w:type="gramEnd"/>
            <w:r>
              <w:rPr>
                <w:rFonts w:ascii="Arial" w:hAnsi="Arial" w:cs="Arial"/>
                <w:sz w:val="20"/>
                <w:szCs w:val="20"/>
              </w:rPr>
              <w:t>*</w:t>
            </w:r>
          </w:p>
        </w:tc>
        <w:tc>
          <w:tcPr>
            <w:tcW w:w="0" w:type="auto"/>
          </w:tcPr>
          <w:p w14:paraId="431AF42F" w14:textId="7DE10CC3" w:rsidR="00003D6E" w:rsidRPr="008E1C7E" w:rsidRDefault="001B1C60" w:rsidP="006C56F4">
            <w:pPr>
              <w:spacing w:line="360" w:lineRule="auto"/>
              <w:rPr>
                <w:rFonts w:ascii="Arial" w:hAnsi="Arial" w:cs="Arial"/>
                <w:sz w:val="20"/>
                <w:szCs w:val="20"/>
              </w:rPr>
            </w:pPr>
            <w:r>
              <w:rPr>
                <w:rFonts w:ascii="Arial" w:hAnsi="Arial" w:cs="Arial"/>
                <w:sz w:val="20"/>
                <w:szCs w:val="20"/>
              </w:rPr>
              <w:t>0.2 (0.3)</w:t>
            </w:r>
          </w:p>
        </w:tc>
        <w:tc>
          <w:tcPr>
            <w:tcW w:w="0" w:type="auto"/>
          </w:tcPr>
          <w:p w14:paraId="7C168550" w14:textId="1234CEFB" w:rsidR="00003D6E" w:rsidRPr="008E1C7E" w:rsidRDefault="00003D6E" w:rsidP="006C56F4">
            <w:pPr>
              <w:spacing w:line="360" w:lineRule="auto"/>
              <w:rPr>
                <w:rFonts w:ascii="Arial" w:hAnsi="Arial" w:cs="Arial"/>
                <w:sz w:val="20"/>
                <w:szCs w:val="20"/>
              </w:rPr>
            </w:pPr>
            <w:r>
              <w:rPr>
                <w:rFonts w:ascii="Arial" w:hAnsi="Arial" w:cs="Arial"/>
                <w:sz w:val="20"/>
                <w:szCs w:val="20"/>
              </w:rPr>
              <w:t>-1.9 (</w:t>
            </w:r>
            <w:proofErr w:type="gramStart"/>
            <w:r>
              <w:rPr>
                <w:rFonts w:ascii="Arial" w:hAnsi="Arial" w:cs="Arial"/>
                <w:sz w:val="20"/>
                <w:szCs w:val="20"/>
              </w:rPr>
              <w:t>0.3)*</w:t>
            </w:r>
            <w:proofErr w:type="gramEnd"/>
            <w:r>
              <w:rPr>
                <w:rFonts w:ascii="Arial" w:hAnsi="Arial" w:cs="Arial"/>
                <w:sz w:val="20"/>
                <w:szCs w:val="20"/>
              </w:rPr>
              <w:t>*</w:t>
            </w:r>
          </w:p>
        </w:tc>
        <w:tc>
          <w:tcPr>
            <w:tcW w:w="0" w:type="auto"/>
          </w:tcPr>
          <w:p w14:paraId="070550E4" w14:textId="450E03B6" w:rsidR="00003D6E" w:rsidRPr="008E1C7E" w:rsidRDefault="00C13217" w:rsidP="006C56F4">
            <w:pPr>
              <w:spacing w:line="360" w:lineRule="auto"/>
              <w:rPr>
                <w:rFonts w:ascii="Arial" w:hAnsi="Arial" w:cs="Arial"/>
                <w:sz w:val="20"/>
                <w:szCs w:val="20"/>
              </w:rPr>
            </w:pPr>
            <w:r>
              <w:rPr>
                <w:rFonts w:ascii="Arial" w:hAnsi="Arial" w:cs="Arial"/>
                <w:sz w:val="20"/>
                <w:szCs w:val="20"/>
              </w:rPr>
              <w:t>1.9 (</w:t>
            </w:r>
            <w:proofErr w:type="gramStart"/>
            <w:r>
              <w:rPr>
                <w:rFonts w:ascii="Arial" w:hAnsi="Arial" w:cs="Arial"/>
                <w:sz w:val="20"/>
                <w:szCs w:val="20"/>
              </w:rPr>
              <w:t>0.4)*</w:t>
            </w:r>
            <w:proofErr w:type="gramEnd"/>
            <w:r>
              <w:rPr>
                <w:rFonts w:ascii="Arial" w:hAnsi="Arial" w:cs="Arial"/>
                <w:sz w:val="20"/>
                <w:szCs w:val="20"/>
              </w:rPr>
              <w:t>*</w:t>
            </w:r>
          </w:p>
        </w:tc>
        <w:tc>
          <w:tcPr>
            <w:tcW w:w="0" w:type="auto"/>
          </w:tcPr>
          <w:p w14:paraId="71FCF3FF" w14:textId="39C66EBB" w:rsidR="00003D6E" w:rsidRPr="008E1C7E" w:rsidRDefault="00705031" w:rsidP="006C56F4">
            <w:pPr>
              <w:spacing w:line="360" w:lineRule="auto"/>
              <w:rPr>
                <w:rFonts w:ascii="Arial" w:hAnsi="Arial" w:cs="Arial"/>
                <w:sz w:val="20"/>
                <w:szCs w:val="20"/>
              </w:rPr>
            </w:pPr>
            <w:r>
              <w:rPr>
                <w:rFonts w:ascii="Arial" w:hAnsi="Arial" w:cs="Arial"/>
                <w:sz w:val="20"/>
                <w:szCs w:val="20"/>
              </w:rPr>
              <w:t>10.2 (</w:t>
            </w:r>
            <w:proofErr w:type="gramStart"/>
            <w:r>
              <w:rPr>
                <w:rFonts w:ascii="Arial" w:hAnsi="Arial" w:cs="Arial"/>
                <w:sz w:val="20"/>
                <w:szCs w:val="20"/>
              </w:rPr>
              <w:t>3.7)*</w:t>
            </w:r>
            <w:proofErr w:type="gramEnd"/>
            <w:r>
              <w:rPr>
                <w:rFonts w:ascii="Arial" w:hAnsi="Arial" w:cs="Arial"/>
                <w:sz w:val="20"/>
                <w:szCs w:val="20"/>
              </w:rPr>
              <w:t>*</w:t>
            </w:r>
          </w:p>
        </w:tc>
        <w:tc>
          <w:tcPr>
            <w:tcW w:w="0" w:type="auto"/>
          </w:tcPr>
          <w:p w14:paraId="7FF62788" w14:textId="04476A12" w:rsidR="00003D6E" w:rsidRPr="008E1C7E" w:rsidRDefault="00DC7B1C" w:rsidP="006C56F4">
            <w:pPr>
              <w:spacing w:line="360" w:lineRule="auto"/>
              <w:rPr>
                <w:rFonts w:ascii="Arial" w:hAnsi="Arial" w:cs="Arial"/>
                <w:sz w:val="20"/>
                <w:szCs w:val="20"/>
              </w:rPr>
            </w:pPr>
            <w:r>
              <w:rPr>
                <w:rFonts w:ascii="Arial" w:hAnsi="Arial" w:cs="Arial"/>
                <w:sz w:val="20"/>
                <w:szCs w:val="20"/>
              </w:rPr>
              <w:t>-132.2 (</w:t>
            </w:r>
            <w:proofErr w:type="gramStart"/>
            <w:r>
              <w:rPr>
                <w:rFonts w:ascii="Arial" w:hAnsi="Arial" w:cs="Arial"/>
                <w:sz w:val="20"/>
                <w:szCs w:val="20"/>
              </w:rPr>
              <w:t>34.8)*</w:t>
            </w:r>
            <w:proofErr w:type="gramEnd"/>
            <w:r>
              <w:rPr>
                <w:rFonts w:ascii="Arial" w:hAnsi="Arial" w:cs="Arial"/>
                <w:sz w:val="20"/>
                <w:szCs w:val="20"/>
              </w:rPr>
              <w:t>*</w:t>
            </w:r>
          </w:p>
        </w:tc>
      </w:tr>
      <w:tr w:rsidR="00003D6E" w:rsidRPr="008E1C7E" w14:paraId="305FFB30" w14:textId="4E458AA2" w:rsidTr="007877EC">
        <w:tc>
          <w:tcPr>
            <w:tcW w:w="0" w:type="auto"/>
          </w:tcPr>
          <w:p w14:paraId="162FC30F"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lastRenderedPageBreak/>
              <w:t>Hospital beds per 10,000 population</w:t>
            </w:r>
          </w:p>
        </w:tc>
        <w:tc>
          <w:tcPr>
            <w:tcW w:w="0" w:type="auto"/>
          </w:tcPr>
          <w:p w14:paraId="415ADA09" w14:textId="5E1A4B4C" w:rsidR="00003D6E" w:rsidRPr="008E1C7E" w:rsidRDefault="00003D6E" w:rsidP="006C56F4">
            <w:pPr>
              <w:spacing w:line="360" w:lineRule="auto"/>
              <w:rPr>
                <w:rFonts w:ascii="Arial" w:hAnsi="Arial" w:cs="Arial"/>
                <w:sz w:val="20"/>
                <w:szCs w:val="20"/>
              </w:rPr>
            </w:pPr>
            <w:r>
              <w:rPr>
                <w:rFonts w:ascii="Arial" w:hAnsi="Arial" w:cs="Arial"/>
                <w:sz w:val="20"/>
                <w:szCs w:val="20"/>
              </w:rPr>
              <w:t>-6.2 (</w:t>
            </w:r>
            <w:proofErr w:type="gramStart"/>
            <w:r>
              <w:rPr>
                <w:rFonts w:ascii="Arial" w:hAnsi="Arial" w:cs="Arial"/>
                <w:sz w:val="20"/>
                <w:szCs w:val="20"/>
              </w:rPr>
              <w:t>1.3)*</w:t>
            </w:r>
            <w:proofErr w:type="gramEnd"/>
            <w:r>
              <w:rPr>
                <w:rFonts w:ascii="Arial" w:hAnsi="Arial" w:cs="Arial"/>
                <w:sz w:val="20"/>
                <w:szCs w:val="20"/>
              </w:rPr>
              <w:t>*</w:t>
            </w:r>
          </w:p>
        </w:tc>
        <w:tc>
          <w:tcPr>
            <w:tcW w:w="0" w:type="auto"/>
          </w:tcPr>
          <w:p w14:paraId="556B5EF7" w14:textId="3EE66E75" w:rsidR="00003D6E" w:rsidRPr="008E1C7E" w:rsidRDefault="00003D6E" w:rsidP="006C56F4">
            <w:pPr>
              <w:spacing w:line="360" w:lineRule="auto"/>
              <w:rPr>
                <w:rFonts w:ascii="Arial" w:hAnsi="Arial" w:cs="Arial"/>
                <w:sz w:val="20"/>
                <w:szCs w:val="20"/>
              </w:rPr>
            </w:pPr>
            <w:r>
              <w:rPr>
                <w:rFonts w:ascii="Arial" w:hAnsi="Arial" w:cs="Arial"/>
                <w:sz w:val="20"/>
                <w:szCs w:val="20"/>
              </w:rPr>
              <w:t>3.4 (</w:t>
            </w:r>
            <w:proofErr w:type="gramStart"/>
            <w:r>
              <w:rPr>
                <w:rFonts w:ascii="Arial" w:hAnsi="Arial" w:cs="Arial"/>
                <w:sz w:val="20"/>
                <w:szCs w:val="20"/>
              </w:rPr>
              <w:t>0.6)*</w:t>
            </w:r>
            <w:proofErr w:type="gramEnd"/>
            <w:r>
              <w:rPr>
                <w:rFonts w:ascii="Arial" w:hAnsi="Arial" w:cs="Arial"/>
                <w:sz w:val="20"/>
                <w:szCs w:val="20"/>
              </w:rPr>
              <w:t>*</w:t>
            </w:r>
          </w:p>
        </w:tc>
        <w:tc>
          <w:tcPr>
            <w:tcW w:w="0" w:type="auto"/>
          </w:tcPr>
          <w:p w14:paraId="1326FF74" w14:textId="711688A3" w:rsidR="00003D6E" w:rsidRPr="008E1C7E" w:rsidRDefault="00003D6E" w:rsidP="006C56F4">
            <w:pPr>
              <w:spacing w:line="360" w:lineRule="auto"/>
              <w:rPr>
                <w:rFonts w:ascii="Arial" w:hAnsi="Arial" w:cs="Arial"/>
                <w:sz w:val="20"/>
                <w:szCs w:val="20"/>
              </w:rPr>
            </w:pPr>
            <w:r>
              <w:rPr>
                <w:rFonts w:ascii="Arial" w:hAnsi="Arial" w:cs="Arial"/>
                <w:sz w:val="20"/>
                <w:szCs w:val="20"/>
              </w:rPr>
              <w:t>-0.2 (1.3)</w:t>
            </w:r>
          </w:p>
        </w:tc>
        <w:tc>
          <w:tcPr>
            <w:tcW w:w="0" w:type="auto"/>
          </w:tcPr>
          <w:p w14:paraId="5A22B0D3" w14:textId="306BE1AD" w:rsidR="00003D6E" w:rsidRPr="008E1C7E" w:rsidRDefault="001B1C60" w:rsidP="006C56F4">
            <w:pPr>
              <w:spacing w:line="360" w:lineRule="auto"/>
              <w:rPr>
                <w:rFonts w:ascii="Arial" w:hAnsi="Arial" w:cs="Arial"/>
                <w:sz w:val="20"/>
                <w:szCs w:val="20"/>
              </w:rPr>
            </w:pPr>
            <w:r>
              <w:rPr>
                <w:rFonts w:ascii="Arial" w:hAnsi="Arial" w:cs="Arial"/>
                <w:sz w:val="20"/>
                <w:szCs w:val="20"/>
              </w:rPr>
              <w:t>2.3 (</w:t>
            </w:r>
            <w:proofErr w:type="gramStart"/>
            <w:r>
              <w:rPr>
                <w:rFonts w:ascii="Arial" w:hAnsi="Arial" w:cs="Arial"/>
                <w:sz w:val="20"/>
                <w:szCs w:val="20"/>
              </w:rPr>
              <w:t>0.3)*</w:t>
            </w:r>
            <w:proofErr w:type="gramEnd"/>
            <w:r>
              <w:rPr>
                <w:rFonts w:ascii="Arial" w:hAnsi="Arial" w:cs="Arial"/>
                <w:sz w:val="20"/>
                <w:szCs w:val="20"/>
              </w:rPr>
              <w:t>*</w:t>
            </w:r>
          </w:p>
        </w:tc>
        <w:tc>
          <w:tcPr>
            <w:tcW w:w="0" w:type="auto"/>
          </w:tcPr>
          <w:p w14:paraId="7FE66484" w14:textId="53A4C38C" w:rsidR="00003D6E" w:rsidRPr="008E1C7E" w:rsidRDefault="00003D6E" w:rsidP="006C56F4">
            <w:pPr>
              <w:spacing w:line="360" w:lineRule="auto"/>
              <w:rPr>
                <w:rFonts w:ascii="Arial" w:hAnsi="Arial" w:cs="Arial"/>
                <w:sz w:val="20"/>
                <w:szCs w:val="20"/>
              </w:rPr>
            </w:pPr>
            <w:r>
              <w:rPr>
                <w:rFonts w:ascii="Arial" w:hAnsi="Arial" w:cs="Arial"/>
                <w:sz w:val="20"/>
                <w:szCs w:val="20"/>
              </w:rPr>
              <w:t>2.5 (</w:t>
            </w:r>
            <w:proofErr w:type="gramStart"/>
            <w:r>
              <w:rPr>
                <w:rFonts w:ascii="Arial" w:hAnsi="Arial" w:cs="Arial"/>
                <w:sz w:val="20"/>
                <w:szCs w:val="20"/>
              </w:rPr>
              <w:t>0.4)*</w:t>
            </w:r>
            <w:proofErr w:type="gramEnd"/>
            <w:r>
              <w:rPr>
                <w:rFonts w:ascii="Arial" w:hAnsi="Arial" w:cs="Arial"/>
                <w:sz w:val="20"/>
                <w:szCs w:val="20"/>
              </w:rPr>
              <w:t>*</w:t>
            </w:r>
          </w:p>
        </w:tc>
        <w:tc>
          <w:tcPr>
            <w:tcW w:w="0" w:type="auto"/>
          </w:tcPr>
          <w:p w14:paraId="44AB224D" w14:textId="0F2DCC6E" w:rsidR="00003D6E" w:rsidRPr="008E1C7E" w:rsidRDefault="00C13217" w:rsidP="006C56F4">
            <w:pPr>
              <w:spacing w:line="360" w:lineRule="auto"/>
              <w:rPr>
                <w:rFonts w:ascii="Arial" w:hAnsi="Arial" w:cs="Arial"/>
                <w:sz w:val="20"/>
                <w:szCs w:val="20"/>
              </w:rPr>
            </w:pPr>
            <w:r>
              <w:rPr>
                <w:rFonts w:ascii="Arial" w:hAnsi="Arial" w:cs="Arial"/>
                <w:sz w:val="20"/>
                <w:szCs w:val="20"/>
              </w:rPr>
              <w:t>2.6 (</w:t>
            </w:r>
            <w:proofErr w:type="gramStart"/>
            <w:r>
              <w:rPr>
                <w:rFonts w:ascii="Arial" w:hAnsi="Arial" w:cs="Arial"/>
                <w:sz w:val="20"/>
                <w:szCs w:val="20"/>
              </w:rPr>
              <w:t>0.3)*</w:t>
            </w:r>
            <w:proofErr w:type="gramEnd"/>
            <w:r>
              <w:rPr>
                <w:rFonts w:ascii="Arial" w:hAnsi="Arial" w:cs="Arial"/>
                <w:sz w:val="20"/>
                <w:szCs w:val="20"/>
              </w:rPr>
              <w:t>*</w:t>
            </w:r>
          </w:p>
        </w:tc>
        <w:tc>
          <w:tcPr>
            <w:tcW w:w="0" w:type="auto"/>
          </w:tcPr>
          <w:p w14:paraId="744FB1AC" w14:textId="0C92DF4B" w:rsidR="00003D6E" w:rsidRPr="008E1C7E" w:rsidRDefault="00705031" w:rsidP="006C56F4">
            <w:pPr>
              <w:spacing w:line="360" w:lineRule="auto"/>
              <w:rPr>
                <w:rFonts w:ascii="Arial" w:hAnsi="Arial" w:cs="Arial"/>
                <w:sz w:val="20"/>
                <w:szCs w:val="20"/>
              </w:rPr>
            </w:pPr>
            <w:r>
              <w:rPr>
                <w:rFonts w:ascii="Arial" w:hAnsi="Arial" w:cs="Arial"/>
                <w:sz w:val="20"/>
                <w:szCs w:val="20"/>
              </w:rPr>
              <w:t>-1.3 (3.8)</w:t>
            </w:r>
          </w:p>
        </w:tc>
        <w:tc>
          <w:tcPr>
            <w:tcW w:w="0" w:type="auto"/>
          </w:tcPr>
          <w:p w14:paraId="35304036" w14:textId="42BCEB9D" w:rsidR="00003D6E" w:rsidRPr="008E1C7E" w:rsidRDefault="00DC7B1C" w:rsidP="006C56F4">
            <w:pPr>
              <w:spacing w:line="360" w:lineRule="auto"/>
              <w:rPr>
                <w:rFonts w:ascii="Arial" w:hAnsi="Arial" w:cs="Arial"/>
                <w:sz w:val="20"/>
                <w:szCs w:val="20"/>
              </w:rPr>
            </w:pPr>
            <w:r>
              <w:rPr>
                <w:rFonts w:ascii="Arial" w:hAnsi="Arial" w:cs="Arial"/>
                <w:sz w:val="20"/>
                <w:szCs w:val="20"/>
              </w:rPr>
              <w:t>98.3 (</w:t>
            </w:r>
            <w:proofErr w:type="gramStart"/>
            <w:r>
              <w:rPr>
                <w:rFonts w:ascii="Arial" w:hAnsi="Arial" w:cs="Arial"/>
                <w:sz w:val="20"/>
                <w:szCs w:val="20"/>
              </w:rPr>
              <w:t>45.9)*</w:t>
            </w:r>
            <w:proofErr w:type="gramEnd"/>
          </w:p>
        </w:tc>
      </w:tr>
      <w:tr w:rsidR="00003D6E" w:rsidRPr="008E1C7E" w14:paraId="4DAFC276" w14:textId="3C7A8AFD" w:rsidTr="007877EC">
        <w:tc>
          <w:tcPr>
            <w:tcW w:w="0" w:type="auto"/>
          </w:tcPr>
          <w:p w14:paraId="6D3422E5"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Medicare enrollment</w:t>
            </w:r>
          </w:p>
        </w:tc>
        <w:tc>
          <w:tcPr>
            <w:tcW w:w="0" w:type="auto"/>
          </w:tcPr>
          <w:p w14:paraId="042BAFD2" w14:textId="03E78FA8" w:rsidR="00003D6E" w:rsidRPr="008E1C7E" w:rsidRDefault="00003D6E" w:rsidP="006C56F4">
            <w:pPr>
              <w:spacing w:line="360" w:lineRule="auto"/>
              <w:rPr>
                <w:rFonts w:ascii="Arial" w:hAnsi="Arial" w:cs="Arial"/>
                <w:sz w:val="20"/>
                <w:szCs w:val="20"/>
              </w:rPr>
            </w:pPr>
            <w:r>
              <w:rPr>
                <w:rFonts w:ascii="Arial" w:hAnsi="Arial" w:cs="Arial"/>
                <w:sz w:val="20"/>
                <w:szCs w:val="20"/>
              </w:rPr>
              <w:t>33.1 (</w:t>
            </w:r>
            <w:proofErr w:type="gramStart"/>
            <w:r>
              <w:rPr>
                <w:rFonts w:ascii="Arial" w:hAnsi="Arial" w:cs="Arial"/>
                <w:sz w:val="20"/>
                <w:szCs w:val="20"/>
              </w:rPr>
              <w:t>3.7)*</w:t>
            </w:r>
            <w:proofErr w:type="gramEnd"/>
            <w:r>
              <w:rPr>
                <w:rFonts w:ascii="Arial" w:hAnsi="Arial" w:cs="Arial"/>
                <w:sz w:val="20"/>
                <w:szCs w:val="20"/>
              </w:rPr>
              <w:t>*</w:t>
            </w:r>
          </w:p>
        </w:tc>
        <w:tc>
          <w:tcPr>
            <w:tcW w:w="0" w:type="auto"/>
          </w:tcPr>
          <w:p w14:paraId="1B04ABE3" w14:textId="0884BAAC" w:rsidR="00003D6E" w:rsidRPr="008E1C7E" w:rsidRDefault="00003D6E" w:rsidP="006C56F4">
            <w:pPr>
              <w:spacing w:line="360" w:lineRule="auto"/>
              <w:rPr>
                <w:rFonts w:ascii="Arial" w:hAnsi="Arial" w:cs="Arial"/>
                <w:sz w:val="20"/>
                <w:szCs w:val="20"/>
              </w:rPr>
            </w:pPr>
            <w:r>
              <w:rPr>
                <w:rFonts w:ascii="Arial" w:hAnsi="Arial" w:cs="Arial"/>
                <w:sz w:val="20"/>
                <w:szCs w:val="20"/>
              </w:rPr>
              <w:t>-8.0 (1.9-5.8 (3.4</w:t>
            </w:r>
            <w:proofErr w:type="gramStart"/>
            <w:r>
              <w:rPr>
                <w:rFonts w:ascii="Arial" w:hAnsi="Arial" w:cs="Arial"/>
                <w:sz w:val="20"/>
                <w:szCs w:val="20"/>
              </w:rPr>
              <w:t>))*</w:t>
            </w:r>
            <w:proofErr w:type="gramEnd"/>
            <w:r>
              <w:rPr>
                <w:rFonts w:ascii="Arial" w:hAnsi="Arial" w:cs="Arial"/>
                <w:sz w:val="20"/>
                <w:szCs w:val="20"/>
              </w:rPr>
              <w:t>*</w:t>
            </w:r>
          </w:p>
        </w:tc>
        <w:tc>
          <w:tcPr>
            <w:tcW w:w="0" w:type="auto"/>
          </w:tcPr>
          <w:p w14:paraId="1D42D778" w14:textId="6076DEA4" w:rsidR="00003D6E" w:rsidRPr="008E1C7E" w:rsidRDefault="00003D6E" w:rsidP="006C56F4">
            <w:pPr>
              <w:spacing w:line="360" w:lineRule="auto"/>
              <w:rPr>
                <w:rFonts w:ascii="Arial" w:hAnsi="Arial" w:cs="Arial"/>
                <w:sz w:val="20"/>
                <w:szCs w:val="20"/>
              </w:rPr>
            </w:pPr>
            <w:r>
              <w:rPr>
                <w:rFonts w:ascii="Arial" w:hAnsi="Arial" w:cs="Arial"/>
                <w:sz w:val="20"/>
                <w:szCs w:val="20"/>
              </w:rPr>
              <w:t>0.6 (0.7)</w:t>
            </w:r>
          </w:p>
        </w:tc>
        <w:tc>
          <w:tcPr>
            <w:tcW w:w="0" w:type="auto"/>
          </w:tcPr>
          <w:p w14:paraId="2850CC52" w14:textId="5700403B" w:rsidR="00003D6E" w:rsidRPr="008E1C7E" w:rsidRDefault="001B1C60" w:rsidP="006C56F4">
            <w:pPr>
              <w:spacing w:line="360" w:lineRule="auto"/>
              <w:rPr>
                <w:rFonts w:ascii="Arial" w:hAnsi="Arial" w:cs="Arial"/>
                <w:sz w:val="20"/>
                <w:szCs w:val="20"/>
              </w:rPr>
            </w:pPr>
            <w:r>
              <w:rPr>
                <w:rFonts w:ascii="Arial" w:hAnsi="Arial" w:cs="Arial"/>
                <w:sz w:val="20"/>
                <w:szCs w:val="20"/>
              </w:rPr>
              <w:t>-3.6 (</w:t>
            </w:r>
            <w:proofErr w:type="gramStart"/>
            <w:r>
              <w:rPr>
                <w:rFonts w:ascii="Arial" w:hAnsi="Arial" w:cs="Arial"/>
                <w:sz w:val="20"/>
                <w:szCs w:val="20"/>
              </w:rPr>
              <w:t>0.7)*</w:t>
            </w:r>
            <w:proofErr w:type="gramEnd"/>
            <w:r>
              <w:rPr>
                <w:rFonts w:ascii="Arial" w:hAnsi="Arial" w:cs="Arial"/>
                <w:sz w:val="20"/>
                <w:szCs w:val="20"/>
              </w:rPr>
              <w:t>*</w:t>
            </w:r>
          </w:p>
        </w:tc>
        <w:tc>
          <w:tcPr>
            <w:tcW w:w="0" w:type="auto"/>
          </w:tcPr>
          <w:p w14:paraId="3EBB2255" w14:textId="43914B8D" w:rsidR="00003D6E" w:rsidRPr="008E1C7E" w:rsidRDefault="00003D6E" w:rsidP="006C56F4">
            <w:pPr>
              <w:spacing w:line="360" w:lineRule="auto"/>
              <w:rPr>
                <w:rFonts w:ascii="Arial" w:hAnsi="Arial" w:cs="Arial"/>
                <w:sz w:val="20"/>
                <w:szCs w:val="20"/>
              </w:rPr>
            </w:pPr>
            <w:r>
              <w:rPr>
                <w:rFonts w:ascii="Arial" w:hAnsi="Arial" w:cs="Arial"/>
                <w:sz w:val="20"/>
                <w:szCs w:val="20"/>
              </w:rPr>
              <w:t>-15.0 (</w:t>
            </w:r>
            <w:proofErr w:type="gramStart"/>
            <w:r>
              <w:rPr>
                <w:rFonts w:ascii="Arial" w:hAnsi="Arial" w:cs="Arial"/>
                <w:sz w:val="20"/>
                <w:szCs w:val="20"/>
              </w:rPr>
              <w:t>1.2)*</w:t>
            </w:r>
            <w:proofErr w:type="gramEnd"/>
            <w:r>
              <w:rPr>
                <w:rFonts w:ascii="Arial" w:hAnsi="Arial" w:cs="Arial"/>
                <w:sz w:val="20"/>
                <w:szCs w:val="20"/>
              </w:rPr>
              <w:t>*</w:t>
            </w:r>
          </w:p>
        </w:tc>
        <w:tc>
          <w:tcPr>
            <w:tcW w:w="0" w:type="auto"/>
          </w:tcPr>
          <w:p w14:paraId="2C20E7BA" w14:textId="1EF369B1" w:rsidR="00003D6E" w:rsidRPr="008E1C7E" w:rsidRDefault="00C13217" w:rsidP="006C56F4">
            <w:pPr>
              <w:spacing w:line="360" w:lineRule="auto"/>
              <w:rPr>
                <w:rFonts w:ascii="Arial" w:hAnsi="Arial" w:cs="Arial"/>
                <w:sz w:val="20"/>
                <w:szCs w:val="20"/>
              </w:rPr>
            </w:pPr>
            <w:r>
              <w:rPr>
                <w:rFonts w:ascii="Arial" w:hAnsi="Arial" w:cs="Arial"/>
                <w:sz w:val="20"/>
                <w:szCs w:val="20"/>
              </w:rPr>
              <w:t>6.9 (</w:t>
            </w:r>
            <w:proofErr w:type="gramStart"/>
            <w:r>
              <w:rPr>
                <w:rFonts w:ascii="Arial" w:hAnsi="Arial" w:cs="Arial"/>
                <w:sz w:val="20"/>
                <w:szCs w:val="20"/>
              </w:rPr>
              <w:t>1.0)*</w:t>
            </w:r>
            <w:proofErr w:type="gramEnd"/>
            <w:r>
              <w:rPr>
                <w:rFonts w:ascii="Arial" w:hAnsi="Arial" w:cs="Arial"/>
                <w:sz w:val="20"/>
                <w:szCs w:val="20"/>
              </w:rPr>
              <w:t>*</w:t>
            </w:r>
          </w:p>
        </w:tc>
        <w:tc>
          <w:tcPr>
            <w:tcW w:w="0" w:type="auto"/>
          </w:tcPr>
          <w:p w14:paraId="0566A40A" w14:textId="798CEE2D" w:rsidR="00003D6E" w:rsidRPr="008E1C7E" w:rsidRDefault="00705031" w:rsidP="006C56F4">
            <w:pPr>
              <w:spacing w:line="360" w:lineRule="auto"/>
              <w:rPr>
                <w:rFonts w:ascii="Arial" w:hAnsi="Arial" w:cs="Arial"/>
                <w:sz w:val="20"/>
                <w:szCs w:val="20"/>
              </w:rPr>
            </w:pPr>
            <w:r>
              <w:rPr>
                <w:rFonts w:ascii="Arial" w:hAnsi="Arial" w:cs="Arial"/>
                <w:sz w:val="20"/>
                <w:szCs w:val="20"/>
              </w:rPr>
              <w:t>50.0 (</w:t>
            </w:r>
            <w:proofErr w:type="gramStart"/>
            <w:r>
              <w:rPr>
                <w:rFonts w:ascii="Arial" w:hAnsi="Arial" w:cs="Arial"/>
                <w:sz w:val="20"/>
                <w:szCs w:val="20"/>
              </w:rPr>
              <w:t>7.0)*</w:t>
            </w:r>
            <w:proofErr w:type="gramEnd"/>
            <w:r>
              <w:rPr>
                <w:rFonts w:ascii="Arial" w:hAnsi="Arial" w:cs="Arial"/>
                <w:sz w:val="20"/>
                <w:szCs w:val="20"/>
              </w:rPr>
              <w:t>*</w:t>
            </w:r>
          </w:p>
        </w:tc>
        <w:tc>
          <w:tcPr>
            <w:tcW w:w="0" w:type="auto"/>
          </w:tcPr>
          <w:p w14:paraId="3006C2A7" w14:textId="5B647386" w:rsidR="00003D6E" w:rsidRPr="008E1C7E" w:rsidRDefault="00D505D8" w:rsidP="006C56F4">
            <w:pPr>
              <w:spacing w:line="360" w:lineRule="auto"/>
              <w:rPr>
                <w:rFonts w:ascii="Arial" w:hAnsi="Arial" w:cs="Arial"/>
                <w:sz w:val="20"/>
                <w:szCs w:val="20"/>
              </w:rPr>
            </w:pPr>
            <w:r>
              <w:rPr>
                <w:rFonts w:ascii="Arial" w:hAnsi="Arial" w:cs="Arial"/>
                <w:sz w:val="20"/>
                <w:szCs w:val="20"/>
              </w:rPr>
              <w:t>40.9 (62.8)</w:t>
            </w:r>
          </w:p>
        </w:tc>
      </w:tr>
      <w:tr w:rsidR="00003D6E" w:rsidRPr="008E1C7E" w14:paraId="7BF02DAF" w14:textId="70B8BC01" w:rsidTr="007877EC">
        <w:tc>
          <w:tcPr>
            <w:tcW w:w="0" w:type="auto"/>
          </w:tcPr>
          <w:p w14:paraId="6AC416DC"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Per capita medical costs</w:t>
            </w:r>
          </w:p>
        </w:tc>
        <w:tc>
          <w:tcPr>
            <w:tcW w:w="0" w:type="auto"/>
          </w:tcPr>
          <w:p w14:paraId="7FADE8A2" w14:textId="3D352B89" w:rsidR="00003D6E" w:rsidRPr="008E1C7E" w:rsidRDefault="00003D6E" w:rsidP="006C56F4">
            <w:pPr>
              <w:spacing w:line="360" w:lineRule="auto"/>
              <w:rPr>
                <w:rFonts w:ascii="Arial" w:hAnsi="Arial" w:cs="Arial"/>
                <w:sz w:val="20"/>
                <w:szCs w:val="20"/>
              </w:rPr>
            </w:pPr>
            <w:r>
              <w:rPr>
                <w:rFonts w:ascii="Arial" w:hAnsi="Arial" w:cs="Arial"/>
                <w:sz w:val="20"/>
                <w:szCs w:val="20"/>
              </w:rPr>
              <w:t>4.6 (</w:t>
            </w:r>
            <w:proofErr w:type="gramStart"/>
            <w:r>
              <w:rPr>
                <w:rFonts w:ascii="Arial" w:hAnsi="Arial" w:cs="Arial"/>
                <w:sz w:val="20"/>
                <w:szCs w:val="20"/>
              </w:rPr>
              <w:t>1.7)*</w:t>
            </w:r>
            <w:proofErr w:type="gramEnd"/>
            <w:r>
              <w:rPr>
                <w:rFonts w:ascii="Arial" w:hAnsi="Arial" w:cs="Arial"/>
                <w:sz w:val="20"/>
                <w:szCs w:val="20"/>
              </w:rPr>
              <w:t>*</w:t>
            </w:r>
          </w:p>
        </w:tc>
        <w:tc>
          <w:tcPr>
            <w:tcW w:w="0" w:type="auto"/>
          </w:tcPr>
          <w:p w14:paraId="4DC29293" w14:textId="0A21B24A" w:rsidR="00003D6E" w:rsidRPr="008E1C7E" w:rsidRDefault="00003D6E" w:rsidP="006C56F4">
            <w:pPr>
              <w:spacing w:line="360" w:lineRule="auto"/>
              <w:rPr>
                <w:rFonts w:ascii="Arial" w:hAnsi="Arial" w:cs="Arial"/>
                <w:sz w:val="20"/>
                <w:szCs w:val="20"/>
              </w:rPr>
            </w:pPr>
            <w:r>
              <w:rPr>
                <w:rFonts w:ascii="Arial" w:hAnsi="Arial" w:cs="Arial"/>
                <w:sz w:val="20"/>
                <w:szCs w:val="20"/>
              </w:rPr>
              <w:t>-3.8 (</w:t>
            </w:r>
            <w:proofErr w:type="gramStart"/>
            <w:r>
              <w:rPr>
                <w:rFonts w:ascii="Arial" w:hAnsi="Arial" w:cs="Arial"/>
                <w:sz w:val="20"/>
                <w:szCs w:val="20"/>
              </w:rPr>
              <w:t>0.8)*</w:t>
            </w:r>
            <w:proofErr w:type="gramEnd"/>
            <w:r>
              <w:rPr>
                <w:rFonts w:ascii="Arial" w:hAnsi="Arial" w:cs="Arial"/>
                <w:sz w:val="20"/>
                <w:szCs w:val="20"/>
              </w:rPr>
              <w:t>*</w:t>
            </w:r>
          </w:p>
        </w:tc>
        <w:tc>
          <w:tcPr>
            <w:tcW w:w="0" w:type="auto"/>
          </w:tcPr>
          <w:p w14:paraId="3C7DF7D4" w14:textId="75D2FA15" w:rsidR="00003D6E" w:rsidRPr="008E1C7E" w:rsidRDefault="00003D6E" w:rsidP="006C56F4">
            <w:pPr>
              <w:spacing w:line="360" w:lineRule="auto"/>
              <w:rPr>
                <w:rFonts w:ascii="Arial" w:hAnsi="Arial" w:cs="Arial"/>
                <w:sz w:val="20"/>
                <w:szCs w:val="20"/>
              </w:rPr>
            </w:pPr>
            <w:r>
              <w:rPr>
                <w:rFonts w:ascii="Arial" w:hAnsi="Arial" w:cs="Arial"/>
                <w:sz w:val="20"/>
                <w:szCs w:val="20"/>
              </w:rPr>
              <w:t>0.3 (1.0)</w:t>
            </w:r>
          </w:p>
        </w:tc>
        <w:tc>
          <w:tcPr>
            <w:tcW w:w="0" w:type="auto"/>
          </w:tcPr>
          <w:p w14:paraId="47996578" w14:textId="2C1EFF26" w:rsidR="00003D6E" w:rsidRPr="008E1C7E" w:rsidRDefault="001B1C60" w:rsidP="006C56F4">
            <w:pPr>
              <w:spacing w:line="360" w:lineRule="auto"/>
              <w:rPr>
                <w:rFonts w:ascii="Arial" w:hAnsi="Arial" w:cs="Arial"/>
                <w:sz w:val="20"/>
                <w:szCs w:val="20"/>
              </w:rPr>
            </w:pPr>
            <w:r>
              <w:rPr>
                <w:rFonts w:ascii="Arial" w:hAnsi="Arial" w:cs="Arial"/>
                <w:sz w:val="20"/>
                <w:szCs w:val="20"/>
              </w:rPr>
              <w:t>-0.9 (</w:t>
            </w:r>
            <w:proofErr w:type="gramStart"/>
            <w:r>
              <w:rPr>
                <w:rFonts w:ascii="Arial" w:hAnsi="Arial" w:cs="Arial"/>
                <w:sz w:val="20"/>
                <w:szCs w:val="20"/>
              </w:rPr>
              <w:t>0.4)*</w:t>
            </w:r>
            <w:proofErr w:type="gramEnd"/>
          </w:p>
        </w:tc>
        <w:tc>
          <w:tcPr>
            <w:tcW w:w="0" w:type="auto"/>
          </w:tcPr>
          <w:p w14:paraId="62D6842F" w14:textId="64DC3E19" w:rsidR="00003D6E" w:rsidRPr="008E1C7E" w:rsidRDefault="00003D6E" w:rsidP="006C56F4">
            <w:pPr>
              <w:spacing w:line="360" w:lineRule="auto"/>
              <w:rPr>
                <w:rFonts w:ascii="Arial" w:hAnsi="Arial" w:cs="Arial"/>
                <w:sz w:val="20"/>
                <w:szCs w:val="20"/>
              </w:rPr>
            </w:pPr>
            <w:r>
              <w:rPr>
                <w:rFonts w:ascii="Arial" w:hAnsi="Arial" w:cs="Arial"/>
                <w:sz w:val="20"/>
                <w:szCs w:val="20"/>
              </w:rPr>
              <w:t>-0.6 (0.6)</w:t>
            </w:r>
          </w:p>
        </w:tc>
        <w:tc>
          <w:tcPr>
            <w:tcW w:w="0" w:type="auto"/>
          </w:tcPr>
          <w:p w14:paraId="5A99E5E0" w14:textId="222D1978" w:rsidR="00003D6E" w:rsidRPr="008E1C7E" w:rsidRDefault="00C13217" w:rsidP="006C56F4">
            <w:pPr>
              <w:spacing w:line="360" w:lineRule="auto"/>
              <w:rPr>
                <w:rFonts w:ascii="Arial" w:hAnsi="Arial" w:cs="Arial"/>
                <w:sz w:val="20"/>
                <w:szCs w:val="20"/>
              </w:rPr>
            </w:pPr>
            <w:r>
              <w:rPr>
                <w:rFonts w:ascii="Arial" w:hAnsi="Arial" w:cs="Arial"/>
                <w:sz w:val="20"/>
                <w:szCs w:val="20"/>
              </w:rPr>
              <w:t>-1.4 (</w:t>
            </w:r>
            <w:proofErr w:type="gramStart"/>
            <w:r>
              <w:rPr>
                <w:rFonts w:ascii="Arial" w:hAnsi="Arial" w:cs="Arial"/>
                <w:sz w:val="20"/>
                <w:szCs w:val="20"/>
              </w:rPr>
              <w:t>0.4)*</w:t>
            </w:r>
            <w:proofErr w:type="gramEnd"/>
            <w:r>
              <w:rPr>
                <w:rFonts w:ascii="Arial" w:hAnsi="Arial" w:cs="Arial"/>
                <w:sz w:val="20"/>
                <w:szCs w:val="20"/>
              </w:rPr>
              <w:t>*</w:t>
            </w:r>
          </w:p>
        </w:tc>
        <w:tc>
          <w:tcPr>
            <w:tcW w:w="0" w:type="auto"/>
          </w:tcPr>
          <w:p w14:paraId="5D14A44E" w14:textId="691BE237" w:rsidR="00003D6E" w:rsidRPr="008E1C7E" w:rsidRDefault="00705031" w:rsidP="006C56F4">
            <w:pPr>
              <w:spacing w:line="360" w:lineRule="auto"/>
              <w:rPr>
                <w:rFonts w:ascii="Arial" w:hAnsi="Arial" w:cs="Arial"/>
                <w:sz w:val="20"/>
                <w:szCs w:val="20"/>
              </w:rPr>
            </w:pPr>
            <w:r>
              <w:rPr>
                <w:rFonts w:ascii="Arial" w:hAnsi="Arial" w:cs="Arial"/>
                <w:sz w:val="20"/>
                <w:szCs w:val="20"/>
              </w:rPr>
              <w:t>12.0 (</w:t>
            </w:r>
            <w:proofErr w:type="gramStart"/>
            <w:r>
              <w:rPr>
                <w:rFonts w:ascii="Arial" w:hAnsi="Arial" w:cs="Arial"/>
                <w:sz w:val="20"/>
                <w:szCs w:val="20"/>
              </w:rPr>
              <w:t>3.7)*</w:t>
            </w:r>
            <w:proofErr w:type="gramEnd"/>
            <w:r>
              <w:rPr>
                <w:rFonts w:ascii="Arial" w:hAnsi="Arial" w:cs="Arial"/>
                <w:sz w:val="20"/>
                <w:szCs w:val="20"/>
              </w:rPr>
              <w:t>*</w:t>
            </w:r>
          </w:p>
        </w:tc>
        <w:tc>
          <w:tcPr>
            <w:tcW w:w="0" w:type="auto"/>
          </w:tcPr>
          <w:p w14:paraId="033B91FC" w14:textId="37B0C2A2" w:rsidR="00003D6E" w:rsidRPr="008E1C7E" w:rsidRDefault="00D505D8" w:rsidP="006C56F4">
            <w:pPr>
              <w:spacing w:line="360" w:lineRule="auto"/>
              <w:rPr>
                <w:rFonts w:ascii="Arial" w:hAnsi="Arial" w:cs="Arial"/>
                <w:sz w:val="20"/>
                <w:szCs w:val="20"/>
              </w:rPr>
            </w:pPr>
            <w:r>
              <w:rPr>
                <w:rFonts w:ascii="Arial" w:hAnsi="Arial" w:cs="Arial"/>
                <w:sz w:val="20"/>
                <w:szCs w:val="20"/>
              </w:rPr>
              <w:t>-93.6 (</w:t>
            </w:r>
            <w:proofErr w:type="gramStart"/>
            <w:r>
              <w:rPr>
                <w:rFonts w:ascii="Arial" w:hAnsi="Arial" w:cs="Arial"/>
                <w:sz w:val="20"/>
                <w:szCs w:val="20"/>
              </w:rPr>
              <w:t>20.1)*</w:t>
            </w:r>
            <w:proofErr w:type="gramEnd"/>
            <w:r>
              <w:rPr>
                <w:rFonts w:ascii="Arial" w:hAnsi="Arial" w:cs="Arial"/>
                <w:sz w:val="20"/>
                <w:szCs w:val="20"/>
              </w:rPr>
              <w:t>*</w:t>
            </w:r>
          </w:p>
        </w:tc>
      </w:tr>
      <w:tr w:rsidR="00003D6E" w:rsidRPr="008E1C7E" w14:paraId="63F15700" w14:textId="0887CBE5" w:rsidTr="007877EC">
        <w:tc>
          <w:tcPr>
            <w:tcW w:w="0" w:type="auto"/>
          </w:tcPr>
          <w:p w14:paraId="48157B40"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Adult tobacco smoking</w:t>
            </w:r>
          </w:p>
        </w:tc>
        <w:tc>
          <w:tcPr>
            <w:tcW w:w="0" w:type="auto"/>
          </w:tcPr>
          <w:p w14:paraId="7B2616A5" w14:textId="26AC80E9" w:rsidR="00003D6E" w:rsidRPr="008E1C7E" w:rsidRDefault="00003D6E" w:rsidP="006C56F4">
            <w:pPr>
              <w:spacing w:line="360" w:lineRule="auto"/>
              <w:rPr>
                <w:rFonts w:ascii="Arial" w:hAnsi="Arial" w:cs="Arial"/>
                <w:sz w:val="20"/>
                <w:szCs w:val="20"/>
              </w:rPr>
            </w:pPr>
            <w:r>
              <w:rPr>
                <w:rFonts w:ascii="Arial" w:hAnsi="Arial" w:cs="Arial"/>
                <w:sz w:val="20"/>
                <w:szCs w:val="20"/>
              </w:rPr>
              <w:t>-12.7 (</w:t>
            </w:r>
            <w:proofErr w:type="gramStart"/>
            <w:r>
              <w:rPr>
                <w:rFonts w:ascii="Arial" w:hAnsi="Arial" w:cs="Arial"/>
                <w:sz w:val="20"/>
                <w:szCs w:val="20"/>
              </w:rPr>
              <w:t>1.2)*</w:t>
            </w:r>
            <w:proofErr w:type="gramEnd"/>
            <w:r>
              <w:rPr>
                <w:rFonts w:ascii="Arial" w:hAnsi="Arial" w:cs="Arial"/>
                <w:sz w:val="20"/>
                <w:szCs w:val="20"/>
              </w:rPr>
              <w:t>*</w:t>
            </w:r>
          </w:p>
        </w:tc>
        <w:tc>
          <w:tcPr>
            <w:tcW w:w="0" w:type="auto"/>
          </w:tcPr>
          <w:p w14:paraId="7F3FB452" w14:textId="152D178D" w:rsidR="00003D6E" w:rsidRPr="008E1C7E" w:rsidRDefault="00003D6E" w:rsidP="006C56F4">
            <w:pPr>
              <w:spacing w:line="360" w:lineRule="auto"/>
              <w:rPr>
                <w:rFonts w:ascii="Arial" w:hAnsi="Arial" w:cs="Arial"/>
                <w:sz w:val="20"/>
                <w:szCs w:val="20"/>
              </w:rPr>
            </w:pPr>
            <w:r>
              <w:rPr>
                <w:rFonts w:ascii="Arial" w:hAnsi="Arial" w:cs="Arial"/>
                <w:sz w:val="20"/>
                <w:szCs w:val="20"/>
              </w:rPr>
              <w:t>2.5 (</w:t>
            </w:r>
            <w:proofErr w:type="gramStart"/>
            <w:r>
              <w:rPr>
                <w:rFonts w:ascii="Arial" w:hAnsi="Arial" w:cs="Arial"/>
                <w:sz w:val="20"/>
                <w:szCs w:val="20"/>
              </w:rPr>
              <w:t>0.6)*</w:t>
            </w:r>
            <w:proofErr w:type="gramEnd"/>
            <w:r>
              <w:rPr>
                <w:rFonts w:ascii="Arial" w:hAnsi="Arial" w:cs="Arial"/>
                <w:sz w:val="20"/>
                <w:szCs w:val="20"/>
              </w:rPr>
              <w:t>*</w:t>
            </w:r>
          </w:p>
        </w:tc>
        <w:tc>
          <w:tcPr>
            <w:tcW w:w="0" w:type="auto"/>
          </w:tcPr>
          <w:p w14:paraId="49F59BB5" w14:textId="7FA65E5D" w:rsidR="00003D6E" w:rsidRPr="008E1C7E" w:rsidRDefault="00003D6E" w:rsidP="006C56F4">
            <w:pPr>
              <w:spacing w:line="360" w:lineRule="auto"/>
              <w:rPr>
                <w:rFonts w:ascii="Arial" w:hAnsi="Arial" w:cs="Arial"/>
                <w:sz w:val="20"/>
                <w:szCs w:val="20"/>
              </w:rPr>
            </w:pPr>
            <w:r>
              <w:rPr>
                <w:rFonts w:ascii="Arial" w:hAnsi="Arial" w:cs="Arial"/>
                <w:sz w:val="20"/>
                <w:szCs w:val="20"/>
              </w:rPr>
              <w:t>-4.8 (1.6)</w:t>
            </w:r>
          </w:p>
        </w:tc>
        <w:tc>
          <w:tcPr>
            <w:tcW w:w="0" w:type="auto"/>
          </w:tcPr>
          <w:p w14:paraId="6E635A93" w14:textId="598F7A4C" w:rsidR="00003D6E" w:rsidRPr="008E1C7E" w:rsidRDefault="001B1C60" w:rsidP="006C56F4">
            <w:pPr>
              <w:spacing w:line="360" w:lineRule="auto"/>
              <w:rPr>
                <w:rFonts w:ascii="Arial" w:hAnsi="Arial" w:cs="Arial"/>
                <w:sz w:val="20"/>
                <w:szCs w:val="20"/>
              </w:rPr>
            </w:pPr>
            <w:r>
              <w:rPr>
                <w:rFonts w:ascii="Arial" w:hAnsi="Arial" w:cs="Arial"/>
                <w:sz w:val="20"/>
                <w:szCs w:val="20"/>
              </w:rPr>
              <w:t>0.7 (</w:t>
            </w:r>
            <w:proofErr w:type="gramStart"/>
            <w:r>
              <w:rPr>
                <w:rFonts w:ascii="Arial" w:hAnsi="Arial" w:cs="Arial"/>
                <w:sz w:val="20"/>
                <w:szCs w:val="20"/>
              </w:rPr>
              <w:t>0.3)*</w:t>
            </w:r>
            <w:proofErr w:type="gramEnd"/>
          </w:p>
        </w:tc>
        <w:tc>
          <w:tcPr>
            <w:tcW w:w="0" w:type="auto"/>
          </w:tcPr>
          <w:p w14:paraId="7496A1D9" w14:textId="483CBF29" w:rsidR="00003D6E" w:rsidRPr="008E1C7E" w:rsidRDefault="00003D6E" w:rsidP="006C56F4">
            <w:pPr>
              <w:spacing w:line="360" w:lineRule="auto"/>
              <w:rPr>
                <w:rFonts w:ascii="Arial" w:hAnsi="Arial" w:cs="Arial"/>
                <w:sz w:val="20"/>
                <w:szCs w:val="20"/>
              </w:rPr>
            </w:pPr>
            <w:r>
              <w:rPr>
                <w:rFonts w:ascii="Arial" w:hAnsi="Arial" w:cs="Arial"/>
                <w:sz w:val="20"/>
                <w:szCs w:val="20"/>
              </w:rPr>
              <w:t>4.5 (</w:t>
            </w:r>
            <w:proofErr w:type="gramStart"/>
            <w:r>
              <w:rPr>
                <w:rFonts w:ascii="Arial" w:hAnsi="Arial" w:cs="Arial"/>
                <w:sz w:val="20"/>
                <w:szCs w:val="20"/>
              </w:rPr>
              <w:t>0.4)*</w:t>
            </w:r>
            <w:proofErr w:type="gramEnd"/>
            <w:r>
              <w:rPr>
                <w:rFonts w:ascii="Arial" w:hAnsi="Arial" w:cs="Arial"/>
                <w:sz w:val="20"/>
                <w:szCs w:val="20"/>
              </w:rPr>
              <w:t>*</w:t>
            </w:r>
          </w:p>
        </w:tc>
        <w:tc>
          <w:tcPr>
            <w:tcW w:w="0" w:type="auto"/>
          </w:tcPr>
          <w:p w14:paraId="51CC0A20" w14:textId="19FBDDA2" w:rsidR="00003D6E" w:rsidRPr="008E1C7E" w:rsidRDefault="00C13217" w:rsidP="006C56F4">
            <w:pPr>
              <w:spacing w:line="360" w:lineRule="auto"/>
              <w:rPr>
                <w:rFonts w:ascii="Arial" w:hAnsi="Arial" w:cs="Arial"/>
                <w:sz w:val="20"/>
                <w:szCs w:val="20"/>
              </w:rPr>
            </w:pPr>
            <w:r>
              <w:rPr>
                <w:rFonts w:ascii="Arial" w:hAnsi="Arial" w:cs="Arial"/>
                <w:sz w:val="20"/>
                <w:szCs w:val="20"/>
              </w:rPr>
              <w:t>6.4 (</w:t>
            </w:r>
            <w:proofErr w:type="gramStart"/>
            <w:r>
              <w:rPr>
                <w:rFonts w:ascii="Arial" w:hAnsi="Arial" w:cs="Arial"/>
                <w:sz w:val="20"/>
                <w:szCs w:val="20"/>
              </w:rPr>
              <w:t>0.5)*</w:t>
            </w:r>
            <w:proofErr w:type="gramEnd"/>
            <w:r>
              <w:rPr>
                <w:rFonts w:ascii="Arial" w:hAnsi="Arial" w:cs="Arial"/>
                <w:sz w:val="20"/>
                <w:szCs w:val="20"/>
              </w:rPr>
              <w:t>*</w:t>
            </w:r>
          </w:p>
        </w:tc>
        <w:tc>
          <w:tcPr>
            <w:tcW w:w="0" w:type="auto"/>
          </w:tcPr>
          <w:p w14:paraId="1BAD570D" w14:textId="6DC25735" w:rsidR="00003D6E" w:rsidRPr="008E1C7E" w:rsidRDefault="00705031" w:rsidP="006C56F4">
            <w:pPr>
              <w:spacing w:line="360" w:lineRule="auto"/>
              <w:rPr>
                <w:rFonts w:ascii="Arial" w:hAnsi="Arial" w:cs="Arial"/>
                <w:sz w:val="20"/>
                <w:szCs w:val="20"/>
              </w:rPr>
            </w:pPr>
            <w:r>
              <w:rPr>
                <w:rFonts w:ascii="Arial" w:hAnsi="Arial" w:cs="Arial"/>
                <w:sz w:val="20"/>
                <w:szCs w:val="20"/>
              </w:rPr>
              <w:t>6.0 (3.4)</w:t>
            </w:r>
          </w:p>
        </w:tc>
        <w:tc>
          <w:tcPr>
            <w:tcW w:w="0" w:type="auto"/>
          </w:tcPr>
          <w:p w14:paraId="2F48D00D" w14:textId="13278A5C" w:rsidR="00003D6E" w:rsidRPr="008E1C7E" w:rsidRDefault="00D505D8" w:rsidP="006C56F4">
            <w:pPr>
              <w:spacing w:line="360" w:lineRule="auto"/>
              <w:rPr>
                <w:rFonts w:ascii="Arial" w:hAnsi="Arial" w:cs="Arial"/>
                <w:sz w:val="20"/>
                <w:szCs w:val="20"/>
              </w:rPr>
            </w:pPr>
            <w:r>
              <w:rPr>
                <w:rFonts w:ascii="Arial" w:hAnsi="Arial" w:cs="Arial"/>
                <w:sz w:val="20"/>
                <w:szCs w:val="20"/>
              </w:rPr>
              <w:t>79.3 (</w:t>
            </w:r>
            <w:proofErr w:type="gramStart"/>
            <w:r>
              <w:rPr>
                <w:rFonts w:ascii="Arial" w:hAnsi="Arial" w:cs="Arial"/>
                <w:sz w:val="20"/>
                <w:szCs w:val="20"/>
              </w:rPr>
              <w:t>26.9)*</w:t>
            </w:r>
            <w:proofErr w:type="gramEnd"/>
            <w:r>
              <w:rPr>
                <w:rFonts w:ascii="Arial" w:hAnsi="Arial" w:cs="Arial"/>
                <w:sz w:val="20"/>
                <w:szCs w:val="20"/>
              </w:rPr>
              <w:t>*</w:t>
            </w:r>
          </w:p>
        </w:tc>
      </w:tr>
      <w:tr w:rsidR="00003D6E" w:rsidRPr="008E1C7E" w14:paraId="0AEBE0ED" w14:textId="5E560888" w:rsidTr="007877EC">
        <w:tc>
          <w:tcPr>
            <w:tcW w:w="0" w:type="auto"/>
          </w:tcPr>
          <w:p w14:paraId="3CA38D91"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Adult obesity</w:t>
            </w:r>
          </w:p>
        </w:tc>
        <w:tc>
          <w:tcPr>
            <w:tcW w:w="0" w:type="auto"/>
          </w:tcPr>
          <w:p w14:paraId="697AC319" w14:textId="405B60E6" w:rsidR="00003D6E" w:rsidRPr="008E1C7E" w:rsidRDefault="00003D6E" w:rsidP="006C56F4">
            <w:pPr>
              <w:spacing w:line="360" w:lineRule="auto"/>
              <w:rPr>
                <w:rFonts w:ascii="Arial" w:hAnsi="Arial" w:cs="Arial"/>
                <w:sz w:val="20"/>
                <w:szCs w:val="20"/>
              </w:rPr>
            </w:pPr>
            <w:r>
              <w:rPr>
                <w:rFonts w:ascii="Arial" w:hAnsi="Arial" w:cs="Arial"/>
                <w:sz w:val="20"/>
                <w:szCs w:val="20"/>
              </w:rPr>
              <w:t>-7.2 (</w:t>
            </w:r>
            <w:proofErr w:type="gramStart"/>
            <w:r>
              <w:rPr>
                <w:rFonts w:ascii="Arial" w:hAnsi="Arial" w:cs="Arial"/>
                <w:sz w:val="20"/>
                <w:szCs w:val="20"/>
              </w:rPr>
              <w:t>0.9)*</w:t>
            </w:r>
            <w:proofErr w:type="gramEnd"/>
            <w:r>
              <w:rPr>
                <w:rFonts w:ascii="Arial" w:hAnsi="Arial" w:cs="Arial"/>
                <w:sz w:val="20"/>
                <w:szCs w:val="20"/>
              </w:rPr>
              <w:t>*</w:t>
            </w:r>
          </w:p>
        </w:tc>
        <w:tc>
          <w:tcPr>
            <w:tcW w:w="0" w:type="auto"/>
          </w:tcPr>
          <w:p w14:paraId="259B849A" w14:textId="57007572" w:rsidR="00003D6E" w:rsidRPr="008E1C7E" w:rsidRDefault="00003D6E" w:rsidP="006C56F4">
            <w:pPr>
              <w:spacing w:line="360" w:lineRule="auto"/>
              <w:rPr>
                <w:rFonts w:ascii="Arial" w:hAnsi="Arial" w:cs="Arial"/>
                <w:sz w:val="20"/>
                <w:szCs w:val="20"/>
              </w:rPr>
            </w:pPr>
            <w:r>
              <w:rPr>
                <w:rFonts w:ascii="Arial" w:hAnsi="Arial" w:cs="Arial"/>
                <w:sz w:val="20"/>
                <w:szCs w:val="20"/>
              </w:rPr>
              <w:t>3.2 (</w:t>
            </w:r>
            <w:proofErr w:type="gramStart"/>
            <w:r>
              <w:rPr>
                <w:rFonts w:ascii="Arial" w:hAnsi="Arial" w:cs="Arial"/>
                <w:sz w:val="20"/>
                <w:szCs w:val="20"/>
              </w:rPr>
              <w:t>0.5)*</w:t>
            </w:r>
            <w:proofErr w:type="gramEnd"/>
            <w:r>
              <w:rPr>
                <w:rFonts w:ascii="Arial" w:hAnsi="Arial" w:cs="Arial"/>
                <w:sz w:val="20"/>
                <w:szCs w:val="20"/>
              </w:rPr>
              <w:t>*</w:t>
            </w:r>
          </w:p>
        </w:tc>
        <w:tc>
          <w:tcPr>
            <w:tcW w:w="0" w:type="auto"/>
          </w:tcPr>
          <w:p w14:paraId="5A3ADEB6" w14:textId="73C397AA" w:rsidR="00003D6E" w:rsidRPr="008E1C7E" w:rsidRDefault="00003D6E" w:rsidP="006C56F4">
            <w:pPr>
              <w:spacing w:line="360" w:lineRule="auto"/>
              <w:rPr>
                <w:rFonts w:ascii="Arial" w:hAnsi="Arial" w:cs="Arial"/>
                <w:sz w:val="20"/>
                <w:szCs w:val="20"/>
              </w:rPr>
            </w:pPr>
            <w:r>
              <w:rPr>
                <w:rFonts w:ascii="Arial" w:hAnsi="Arial" w:cs="Arial"/>
                <w:sz w:val="20"/>
                <w:szCs w:val="20"/>
              </w:rPr>
              <w:t>0.3 (1.0)</w:t>
            </w:r>
          </w:p>
        </w:tc>
        <w:tc>
          <w:tcPr>
            <w:tcW w:w="0" w:type="auto"/>
          </w:tcPr>
          <w:p w14:paraId="1F7ED2FF" w14:textId="0274C279" w:rsidR="00003D6E" w:rsidRPr="008E1C7E" w:rsidRDefault="001B1C60" w:rsidP="006C56F4">
            <w:pPr>
              <w:spacing w:line="360" w:lineRule="auto"/>
              <w:rPr>
                <w:rFonts w:ascii="Arial" w:hAnsi="Arial" w:cs="Arial"/>
                <w:sz w:val="20"/>
                <w:szCs w:val="20"/>
              </w:rPr>
            </w:pPr>
            <w:r>
              <w:rPr>
                <w:rFonts w:ascii="Arial" w:hAnsi="Arial" w:cs="Arial"/>
                <w:sz w:val="20"/>
                <w:szCs w:val="20"/>
              </w:rPr>
              <w:t>-0.4 (0.3)</w:t>
            </w:r>
          </w:p>
        </w:tc>
        <w:tc>
          <w:tcPr>
            <w:tcW w:w="0" w:type="auto"/>
          </w:tcPr>
          <w:p w14:paraId="5F71432C" w14:textId="5BEB81D2" w:rsidR="00003D6E" w:rsidRPr="008E1C7E" w:rsidRDefault="00003D6E" w:rsidP="006C56F4">
            <w:pPr>
              <w:spacing w:line="360" w:lineRule="auto"/>
              <w:rPr>
                <w:rFonts w:ascii="Arial" w:hAnsi="Arial" w:cs="Arial"/>
                <w:sz w:val="20"/>
                <w:szCs w:val="20"/>
              </w:rPr>
            </w:pPr>
            <w:r>
              <w:rPr>
                <w:rFonts w:ascii="Arial" w:hAnsi="Arial" w:cs="Arial"/>
                <w:sz w:val="20"/>
                <w:szCs w:val="20"/>
              </w:rPr>
              <w:t>2.5 (</w:t>
            </w:r>
            <w:proofErr w:type="gramStart"/>
            <w:r>
              <w:rPr>
                <w:rFonts w:ascii="Arial" w:hAnsi="Arial" w:cs="Arial"/>
                <w:sz w:val="20"/>
                <w:szCs w:val="20"/>
              </w:rPr>
              <w:t>0.3)*</w:t>
            </w:r>
            <w:proofErr w:type="gramEnd"/>
            <w:r>
              <w:rPr>
                <w:rFonts w:ascii="Arial" w:hAnsi="Arial" w:cs="Arial"/>
                <w:sz w:val="20"/>
                <w:szCs w:val="20"/>
              </w:rPr>
              <w:t>*</w:t>
            </w:r>
          </w:p>
        </w:tc>
        <w:tc>
          <w:tcPr>
            <w:tcW w:w="0" w:type="auto"/>
          </w:tcPr>
          <w:p w14:paraId="172AD437" w14:textId="2939E35C" w:rsidR="00003D6E" w:rsidRPr="008E1C7E" w:rsidRDefault="00C13217" w:rsidP="006C56F4">
            <w:pPr>
              <w:spacing w:line="360" w:lineRule="auto"/>
              <w:rPr>
                <w:rFonts w:ascii="Arial" w:hAnsi="Arial" w:cs="Arial"/>
                <w:sz w:val="20"/>
                <w:szCs w:val="20"/>
              </w:rPr>
            </w:pPr>
            <w:r>
              <w:rPr>
                <w:rFonts w:ascii="Arial" w:hAnsi="Arial" w:cs="Arial"/>
                <w:sz w:val="20"/>
                <w:szCs w:val="20"/>
              </w:rPr>
              <w:t>1.5 (</w:t>
            </w:r>
            <w:proofErr w:type="gramStart"/>
            <w:r>
              <w:rPr>
                <w:rFonts w:ascii="Arial" w:hAnsi="Arial" w:cs="Arial"/>
                <w:sz w:val="20"/>
                <w:szCs w:val="20"/>
              </w:rPr>
              <w:t>0.3)*</w:t>
            </w:r>
            <w:proofErr w:type="gramEnd"/>
            <w:r>
              <w:rPr>
                <w:rFonts w:ascii="Arial" w:hAnsi="Arial" w:cs="Arial"/>
                <w:sz w:val="20"/>
                <w:szCs w:val="20"/>
              </w:rPr>
              <w:t>*</w:t>
            </w:r>
          </w:p>
        </w:tc>
        <w:tc>
          <w:tcPr>
            <w:tcW w:w="0" w:type="auto"/>
          </w:tcPr>
          <w:p w14:paraId="611C04AA" w14:textId="5398766D" w:rsidR="00003D6E" w:rsidRPr="008E1C7E" w:rsidRDefault="00705031" w:rsidP="006C56F4">
            <w:pPr>
              <w:spacing w:line="360" w:lineRule="auto"/>
              <w:rPr>
                <w:rFonts w:ascii="Arial" w:hAnsi="Arial" w:cs="Arial"/>
                <w:sz w:val="20"/>
                <w:szCs w:val="20"/>
              </w:rPr>
            </w:pPr>
            <w:r>
              <w:rPr>
                <w:rFonts w:ascii="Arial" w:hAnsi="Arial" w:cs="Arial"/>
                <w:sz w:val="20"/>
                <w:szCs w:val="20"/>
              </w:rPr>
              <w:t>-1.9 (2.7)</w:t>
            </w:r>
          </w:p>
        </w:tc>
        <w:tc>
          <w:tcPr>
            <w:tcW w:w="0" w:type="auto"/>
          </w:tcPr>
          <w:p w14:paraId="309A739C" w14:textId="6EF3A62A" w:rsidR="00003D6E" w:rsidRPr="008E1C7E" w:rsidRDefault="00D505D8" w:rsidP="006C56F4">
            <w:pPr>
              <w:spacing w:line="360" w:lineRule="auto"/>
              <w:rPr>
                <w:rFonts w:ascii="Arial" w:hAnsi="Arial" w:cs="Arial"/>
                <w:sz w:val="20"/>
                <w:szCs w:val="20"/>
              </w:rPr>
            </w:pPr>
            <w:r>
              <w:rPr>
                <w:rFonts w:ascii="Arial" w:hAnsi="Arial" w:cs="Arial"/>
                <w:sz w:val="20"/>
                <w:szCs w:val="20"/>
              </w:rPr>
              <w:t>2.1 (21.2)</w:t>
            </w:r>
          </w:p>
        </w:tc>
      </w:tr>
      <w:tr w:rsidR="00003D6E" w:rsidRPr="008E1C7E" w14:paraId="421520F6" w14:textId="76D14658" w:rsidTr="007877EC">
        <w:tc>
          <w:tcPr>
            <w:tcW w:w="0" w:type="auto"/>
          </w:tcPr>
          <w:p w14:paraId="16209E8B"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High ozone days</w:t>
            </w:r>
          </w:p>
        </w:tc>
        <w:tc>
          <w:tcPr>
            <w:tcW w:w="0" w:type="auto"/>
          </w:tcPr>
          <w:p w14:paraId="7C6F080B" w14:textId="52B9F867" w:rsidR="00003D6E" w:rsidRPr="008E1C7E" w:rsidRDefault="00003D6E" w:rsidP="006C56F4">
            <w:pPr>
              <w:spacing w:line="360" w:lineRule="auto"/>
              <w:rPr>
                <w:rFonts w:ascii="Arial" w:hAnsi="Arial" w:cs="Arial"/>
                <w:sz w:val="20"/>
                <w:szCs w:val="20"/>
              </w:rPr>
            </w:pPr>
            <w:r>
              <w:rPr>
                <w:rFonts w:ascii="Arial" w:hAnsi="Arial" w:cs="Arial"/>
                <w:sz w:val="20"/>
                <w:szCs w:val="20"/>
              </w:rPr>
              <w:t>-5.4 (</w:t>
            </w:r>
            <w:proofErr w:type="gramStart"/>
            <w:r>
              <w:rPr>
                <w:rFonts w:ascii="Arial" w:hAnsi="Arial" w:cs="Arial"/>
                <w:sz w:val="20"/>
                <w:szCs w:val="20"/>
              </w:rPr>
              <w:t>1.0)*</w:t>
            </w:r>
            <w:proofErr w:type="gramEnd"/>
            <w:r>
              <w:rPr>
                <w:rFonts w:ascii="Arial" w:hAnsi="Arial" w:cs="Arial"/>
                <w:sz w:val="20"/>
                <w:szCs w:val="20"/>
              </w:rPr>
              <w:t>*</w:t>
            </w:r>
          </w:p>
        </w:tc>
        <w:tc>
          <w:tcPr>
            <w:tcW w:w="0" w:type="auto"/>
          </w:tcPr>
          <w:p w14:paraId="4A948E20" w14:textId="2DA6982B" w:rsidR="00003D6E" w:rsidRPr="008E1C7E" w:rsidRDefault="00003D6E" w:rsidP="006C56F4">
            <w:pPr>
              <w:spacing w:line="360" w:lineRule="auto"/>
              <w:rPr>
                <w:rFonts w:ascii="Arial" w:hAnsi="Arial" w:cs="Arial"/>
                <w:sz w:val="20"/>
                <w:szCs w:val="20"/>
              </w:rPr>
            </w:pPr>
            <w:r>
              <w:rPr>
                <w:rFonts w:ascii="Arial" w:hAnsi="Arial" w:cs="Arial"/>
                <w:sz w:val="20"/>
                <w:szCs w:val="20"/>
              </w:rPr>
              <w:t>1.8 (</w:t>
            </w:r>
            <w:proofErr w:type="gramStart"/>
            <w:r>
              <w:rPr>
                <w:rFonts w:ascii="Arial" w:hAnsi="Arial" w:cs="Arial"/>
                <w:sz w:val="20"/>
                <w:szCs w:val="20"/>
              </w:rPr>
              <w:t>0.5)*</w:t>
            </w:r>
            <w:proofErr w:type="gramEnd"/>
            <w:r>
              <w:rPr>
                <w:rFonts w:ascii="Arial" w:hAnsi="Arial" w:cs="Arial"/>
                <w:sz w:val="20"/>
                <w:szCs w:val="20"/>
              </w:rPr>
              <w:t>*</w:t>
            </w:r>
          </w:p>
        </w:tc>
        <w:tc>
          <w:tcPr>
            <w:tcW w:w="0" w:type="auto"/>
          </w:tcPr>
          <w:p w14:paraId="401D2C7B" w14:textId="03364244" w:rsidR="00003D6E" w:rsidRPr="008E1C7E" w:rsidRDefault="00003D6E" w:rsidP="006C56F4">
            <w:pPr>
              <w:spacing w:line="360" w:lineRule="auto"/>
              <w:rPr>
                <w:rFonts w:ascii="Arial" w:hAnsi="Arial" w:cs="Arial"/>
                <w:sz w:val="20"/>
                <w:szCs w:val="20"/>
              </w:rPr>
            </w:pPr>
            <w:r>
              <w:rPr>
                <w:rFonts w:ascii="Arial" w:hAnsi="Arial" w:cs="Arial"/>
                <w:sz w:val="20"/>
                <w:szCs w:val="20"/>
              </w:rPr>
              <w:t>6.2 (</w:t>
            </w:r>
            <w:proofErr w:type="gramStart"/>
            <w:r>
              <w:rPr>
                <w:rFonts w:ascii="Arial" w:hAnsi="Arial" w:cs="Arial"/>
                <w:sz w:val="20"/>
                <w:szCs w:val="20"/>
              </w:rPr>
              <w:t>1.0)*</w:t>
            </w:r>
            <w:proofErr w:type="gramEnd"/>
            <w:r>
              <w:rPr>
                <w:rFonts w:ascii="Arial" w:hAnsi="Arial" w:cs="Arial"/>
                <w:sz w:val="20"/>
                <w:szCs w:val="20"/>
              </w:rPr>
              <w:t>*</w:t>
            </w:r>
          </w:p>
        </w:tc>
        <w:tc>
          <w:tcPr>
            <w:tcW w:w="0" w:type="auto"/>
          </w:tcPr>
          <w:p w14:paraId="3A402FC5" w14:textId="7BC716E7" w:rsidR="00003D6E" w:rsidRPr="008E1C7E" w:rsidRDefault="001B1C60" w:rsidP="006C56F4">
            <w:pPr>
              <w:spacing w:line="360" w:lineRule="auto"/>
              <w:rPr>
                <w:rFonts w:ascii="Arial" w:hAnsi="Arial" w:cs="Arial"/>
                <w:sz w:val="20"/>
                <w:szCs w:val="20"/>
              </w:rPr>
            </w:pPr>
            <w:r>
              <w:rPr>
                <w:rFonts w:ascii="Arial" w:hAnsi="Arial" w:cs="Arial"/>
                <w:sz w:val="20"/>
                <w:szCs w:val="20"/>
              </w:rPr>
              <w:t>-0.2 (0.3)</w:t>
            </w:r>
          </w:p>
        </w:tc>
        <w:tc>
          <w:tcPr>
            <w:tcW w:w="0" w:type="auto"/>
          </w:tcPr>
          <w:p w14:paraId="4B755E2D" w14:textId="710EA949" w:rsidR="00003D6E" w:rsidRPr="008E1C7E" w:rsidRDefault="00003D6E" w:rsidP="006C56F4">
            <w:pPr>
              <w:spacing w:line="360" w:lineRule="auto"/>
              <w:rPr>
                <w:rFonts w:ascii="Arial" w:hAnsi="Arial" w:cs="Arial"/>
                <w:sz w:val="20"/>
                <w:szCs w:val="20"/>
              </w:rPr>
            </w:pPr>
            <w:r>
              <w:rPr>
                <w:rFonts w:ascii="Arial" w:hAnsi="Arial" w:cs="Arial"/>
                <w:sz w:val="20"/>
                <w:szCs w:val="20"/>
              </w:rPr>
              <w:t>0.7 (</w:t>
            </w:r>
            <w:proofErr w:type="gramStart"/>
            <w:r>
              <w:rPr>
                <w:rFonts w:ascii="Arial" w:hAnsi="Arial" w:cs="Arial"/>
                <w:sz w:val="20"/>
                <w:szCs w:val="20"/>
              </w:rPr>
              <w:t>0.3)*</w:t>
            </w:r>
            <w:proofErr w:type="gramEnd"/>
          </w:p>
        </w:tc>
        <w:tc>
          <w:tcPr>
            <w:tcW w:w="0" w:type="auto"/>
          </w:tcPr>
          <w:p w14:paraId="70AAB45E" w14:textId="3711A088" w:rsidR="00003D6E" w:rsidRPr="008E1C7E" w:rsidRDefault="00C13217" w:rsidP="006C56F4">
            <w:pPr>
              <w:spacing w:line="360" w:lineRule="auto"/>
              <w:rPr>
                <w:rFonts w:ascii="Arial" w:hAnsi="Arial" w:cs="Arial"/>
                <w:sz w:val="20"/>
                <w:szCs w:val="20"/>
              </w:rPr>
            </w:pPr>
            <w:r>
              <w:rPr>
                <w:rFonts w:ascii="Arial" w:hAnsi="Arial" w:cs="Arial"/>
                <w:sz w:val="20"/>
                <w:szCs w:val="20"/>
              </w:rPr>
              <w:t>2.0 (</w:t>
            </w:r>
            <w:proofErr w:type="gramStart"/>
            <w:r>
              <w:rPr>
                <w:rFonts w:ascii="Arial" w:hAnsi="Arial" w:cs="Arial"/>
                <w:sz w:val="20"/>
                <w:szCs w:val="20"/>
              </w:rPr>
              <w:t>0.3)*</w:t>
            </w:r>
            <w:proofErr w:type="gramEnd"/>
            <w:r>
              <w:rPr>
                <w:rFonts w:ascii="Arial" w:hAnsi="Arial" w:cs="Arial"/>
                <w:sz w:val="20"/>
                <w:szCs w:val="20"/>
              </w:rPr>
              <w:t>*</w:t>
            </w:r>
          </w:p>
        </w:tc>
        <w:tc>
          <w:tcPr>
            <w:tcW w:w="0" w:type="auto"/>
          </w:tcPr>
          <w:p w14:paraId="5FD67A0D" w14:textId="4053393E" w:rsidR="00003D6E" w:rsidRPr="008E1C7E" w:rsidRDefault="00ED3090" w:rsidP="006C56F4">
            <w:pPr>
              <w:spacing w:line="360" w:lineRule="auto"/>
              <w:rPr>
                <w:rFonts w:ascii="Arial" w:hAnsi="Arial" w:cs="Arial"/>
                <w:sz w:val="20"/>
                <w:szCs w:val="20"/>
              </w:rPr>
            </w:pPr>
            <w:r>
              <w:rPr>
                <w:rFonts w:ascii="Arial" w:hAnsi="Arial" w:cs="Arial"/>
                <w:sz w:val="20"/>
                <w:szCs w:val="20"/>
              </w:rPr>
              <w:t>-0.5 (1.6)</w:t>
            </w:r>
          </w:p>
        </w:tc>
        <w:tc>
          <w:tcPr>
            <w:tcW w:w="0" w:type="auto"/>
          </w:tcPr>
          <w:p w14:paraId="549815B1" w14:textId="143A82AF" w:rsidR="00003D6E" w:rsidRPr="008E1C7E" w:rsidRDefault="00D505D8" w:rsidP="006C56F4">
            <w:pPr>
              <w:spacing w:line="360" w:lineRule="auto"/>
              <w:rPr>
                <w:rFonts w:ascii="Arial" w:hAnsi="Arial" w:cs="Arial"/>
                <w:sz w:val="20"/>
                <w:szCs w:val="20"/>
              </w:rPr>
            </w:pPr>
            <w:r>
              <w:rPr>
                <w:rFonts w:ascii="Arial" w:hAnsi="Arial" w:cs="Arial"/>
                <w:sz w:val="20"/>
                <w:szCs w:val="20"/>
              </w:rPr>
              <w:t>-24.2 (14.0)</w:t>
            </w:r>
          </w:p>
        </w:tc>
      </w:tr>
      <w:tr w:rsidR="00003D6E" w:rsidRPr="008E1C7E" w14:paraId="2139DAE2" w14:textId="588A3433" w:rsidTr="007877EC">
        <w:tc>
          <w:tcPr>
            <w:tcW w:w="0" w:type="auto"/>
          </w:tcPr>
          <w:p w14:paraId="3F9E47D9" w14:textId="77777777" w:rsidR="00003D6E" w:rsidRPr="008E1C7E" w:rsidRDefault="00003D6E" w:rsidP="006C56F4">
            <w:pPr>
              <w:spacing w:line="360" w:lineRule="auto"/>
              <w:rPr>
                <w:rFonts w:ascii="Arial" w:hAnsi="Arial" w:cs="Arial"/>
                <w:sz w:val="20"/>
                <w:szCs w:val="20"/>
              </w:rPr>
            </w:pPr>
            <w:r w:rsidRPr="008E1C7E">
              <w:rPr>
                <w:rFonts w:ascii="Arial" w:hAnsi="Arial" w:cs="Arial"/>
                <w:sz w:val="20"/>
                <w:szCs w:val="20"/>
              </w:rPr>
              <w:t>Non-primary-care specialized physicians per 10,000 population</w:t>
            </w:r>
          </w:p>
        </w:tc>
        <w:tc>
          <w:tcPr>
            <w:tcW w:w="0" w:type="auto"/>
          </w:tcPr>
          <w:p w14:paraId="36371870" w14:textId="38432AD0" w:rsidR="00003D6E" w:rsidRPr="008E1C7E" w:rsidRDefault="00003D6E" w:rsidP="006C56F4">
            <w:pPr>
              <w:spacing w:line="360" w:lineRule="auto"/>
              <w:rPr>
                <w:rFonts w:ascii="Arial" w:hAnsi="Arial" w:cs="Arial"/>
                <w:sz w:val="20"/>
                <w:szCs w:val="20"/>
              </w:rPr>
            </w:pPr>
            <w:r>
              <w:rPr>
                <w:rFonts w:ascii="Arial" w:hAnsi="Arial" w:cs="Arial"/>
                <w:sz w:val="20"/>
                <w:szCs w:val="20"/>
              </w:rPr>
              <w:t>31.1 (</w:t>
            </w:r>
            <w:proofErr w:type="gramStart"/>
            <w:r>
              <w:rPr>
                <w:rFonts w:ascii="Arial" w:hAnsi="Arial" w:cs="Arial"/>
                <w:sz w:val="20"/>
                <w:szCs w:val="20"/>
              </w:rPr>
              <w:t>5.1)*</w:t>
            </w:r>
            <w:proofErr w:type="gramEnd"/>
            <w:r>
              <w:rPr>
                <w:rFonts w:ascii="Arial" w:hAnsi="Arial" w:cs="Arial"/>
                <w:sz w:val="20"/>
                <w:szCs w:val="20"/>
              </w:rPr>
              <w:t>*</w:t>
            </w:r>
          </w:p>
        </w:tc>
        <w:tc>
          <w:tcPr>
            <w:tcW w:w="0" w:type="auto"/>
          </w:tcPr>
          <w:p w14:paraId="7AB15AE6" w14:textId="0464021B" w:rsidR="00003D6E" w:rsidRPr="008E1C7E" w:rsidRDefault="00003D6E" w:rsidP="006C56F4">
            <w:pPr>
              <w:spacing w:line="360" w:lineRule="auto"/>
              <w:rPr>
                <w:rFonts w:ascii="Arial" w:hAnsi="Arial" w:cs="Arial"/>
                <w:sz w:val="20"/>
                <w:szCs w:val="20"/>
              </w:rPr>
            </w:pPr>
            <w:r>
              <w:rPr>
                <w:rFonts w:ascii="Arial" w:hAnsi="Arial" w:cs="Arial"/>
                <w:sz w:val="20"/>
                <w:szCs w:val="20"/>
              </w:rPr>
              <w:t>-1.1 (</w:t>
            </w:r>
            <w:proofErr w:type="gramStart"/>
            <w:r>
              <w:rPr>
                <w:rFonts w:ascii="Arial" w:hAnsi="Arial" w:cs="Arial"/>
                <w:sz w:val="20"/>
                <w:szCs w:val="20"/>
              </w:rPr>
              <w:t>0.5)*</w:t>
            </w:r>
            <w:proofErr w:type="gramEnd"/>
          </w:p>
        </w:tc>
        <w:tc>
          <w:tcPr>
            <w:tcW w:w="0" w:type="auto"/>
          </w:tcPr>
          <w:p w14:paraId="00F91E13" w14:textId="5B59D586" w:rsidR="00003D6E" w:rsidRPr="008E1C7E" w:rsidRDefault="00003D6E" w:rsidP="006C56F4">
            <w:pPr>
              <w:spacing w:line="360" w:lineRule="auto"/>
              <w:rPr>
                <w:rFonts w:ascii="Arial" w:hAnsi="Arial" w:cs="Arial"/>
                <w:sz w:val="20"/>
                <w:szCs w:val="20"/>
              </w:rPr>
            </w:pPr>
            <w:r>
              <w:rPr>
                <w:rFonts w:ascii="Arial" w:hAnsi="Arial" w:cs="Arial"/>
                <w:sz w:val="20"/>
                <w:szCs w:val="20"/>
              </w:rPr>
              <w:t>-7.0 (</w:t>
            </w:r>
            <w:proofErr w:type="gramStart"/>
            <w:r>
              <w:rPr>
                <w:rFonts w:ascii="Arial" w:hAnsi="Arial" w:cs="Arial"/>
                <w:sz w:val="20"/>
                <w:szCs w:val="20"/>
              </w:rPr>
              <w:t>3.5)*</w:t>
            </w:r>
            <w:proofErr w:type="gramEnd"/>
          </w:p>
        </w:tc>
        <w:tc>
          <w:tcPr>
            <w:tcW w:w="0" w:type="auto"/>
          </w:tcPr>
          <w:p w14:paraId="70035D65" w14:textId="712B0A32" w:rsidR="00003D6E" w:rsidRPr="008E1C7E" w:rsidRDefault="001B1C60" w:rsidP="006C56F4">
            <w:pPr>
              <w:spacing w:line="360" w:lineRule="auto"/>
              <w:rPr>
                <w:rFonts w:ascii="Arial" w:hAnsi="Arial" w:cs="Arial"/>
                <w:sz w:val="20"/>
                <w:szCs w:val="20"/>
              </w:rPr>
            </w:pPr>
            <w:r>
              <w:rPr>
                <w:rFonts w:ascii="Arial" w:hAnsi="Arial" w:cs="Arial"/>
                <w:sz w:val="20"/>
                <w:szCs w:val="20"/>
              </w:rPr>
              <w:t>-2.4 (1.7)</w:t>
            </w:r>
          </w:p>
        </w:tc>
        <w:tc>
          <w:tcPr>
            <w:tcW w:w="0" w:type="auto"/>
          </w:tcPr>
          <w:p w14:paraId="4C22E91F" w14:textId="2DF37544" w:rsidR="00003D6E" w:rsidRPr="008E1C7E" w:rsidRDefault="00003D6E" w:rsidP="006C56F4">
            <w:pPr>
              <w:spacing w:line="360" w:lineRule="auto"/>
              <w:rPr>
                <w:rFonts w:ascii="Arial" w:hAnsi="Arial" w:cs="Arial"/>
                <w:sz w:val="20"/>
                <w:szCs w:val="20"/>
              </w:rPr>
            </w:pPr>
            <w:r>
              <w:rPr>
                <w:rFonts w:ascii="Arial" w:hAnsi="Arial" w:cs="Arial"/>
                <w:sz w:val="20"/>
                <w:szCs w:val="20"/>
              </w:rPr>
              <w:t>-8.9 (</w:t>
            </w:r>
            <w:proofErr w:type="gramStart"/>
            <w:r>
              <w:rPr>
                <w:rFonts w:ascii="Arial" w:hAnsi="Arial" w:cs="Arial"/>
                <w:sz w:val="20"/>
                <w:szCs w:val="20"/>
              </w:rPr>
              <w:t>1.5)*</w:t>
            </w:r>
            <w:proofErr w:type="gramEnd"/>
          </w:p>
        </w:tc>
        <w:tc>
          <w:tcPr>
            <w:tcW w:w="0" w:type="auto"/>
          </w:tcPr>
          <w:p w14:paraId="7256322F" w14:textId="6FDB40A8" w:rsidR="00003D6E" w:rsidRPr="008E1C7E" w:rsidRDefault="00C13217" w:rsidP="006C56F4">
            <w:pPr>
              <w:spacing w:line="360" w:lineRule="auto"/>
              <w:rPr>
                <w:rFonts w:ascii="Arial" w:hAnsi="Arial" w:cs="Arial"/>
                <w:sz w:val="20"/>
                <w:szCs w:val="20"/>
              </w:rPr>
            </w:pPr>
            <w:r>
              <w:rPr>
                <w:rFonts w:ascii="Arial" w:hAnsi="Arial" w:cs="Arial"/>
                <w:sz w:val="20"/>
                <w:szCs w:val="20"/>
              </w:rPr>
              <w:t>-3.0 (</w:t>
            </w:r>
            <w:proofErr w:type="gramStart"/>
            <w:r>
              <w:rPr>
                <w:rFonts w:ascii="Arial" w:hAnsi="Arial" w:cs="Arial"/>
                <w:sz w:val="20"/>
                <w:szCs w:val="20"/>
              </w:rPr>
              <w:t>1.5)*</w:t>
            </w:r>
            <w:proofErr w:type="gramEnd"/>
          </w:p>
        </w:tc>
        <w:tc>
          <w:tcPr>
            <w:tcW w:w="0" w:type="auto"/>
          </w:tcPr>
          <w:p w14:paraId="6FD032CD" w14:textId="53C7E74C" w:rsidR="00003D6E" w:rsidRPr="008E1C7E" w:rsidRDefault="00ED3090" w:rsidP="006C56F4">
            <w:pPr>
              <w:spacing w:line="360" w:lineRule="auto"/>
              <w:rPr>
                <w:rFonts w:ascii="Arial" w:hAnsi="Arial" w:cs="Arial"/>
                <w:sz w:val="20"/>
                <w:szCs w:val="20"/>
              </w:rPr>
            </w:pPr>
            <w:r>
              <w:rPr>
                <w:rFonts w:ascii="Arial" w:hAnsi="Arial" w:cs="Arial"/>
                <w:sz w:val="20"/>
                <w:szCs w:val="20"/>
              </w:rPr>
              <w:t>24.9 (</w:t>
            </w:r>
            <w:proofErr w:type="gramStart"/>
            <w:r>
              <w:rPr>
                <w:rFonts w:ascii="Arial" w:hAnsi="Arial" w:cs="Arial"/>
                <w:sz w:val="20"/>
                <w:szCs w:val="20"/>
              </w:rPr>
              <w:t>10.9)*</w:t>
            </w:r>
            <w:proofErr w:type="gramEnd"/>
          </w:p>
        </w:tc>
        <w:tc>
          <w:tcPr>
            <w:tcW w:w="0" w:type="auto"/>
          </w:tcPr>
          <w:p w14:paraId="316972A5" w14:textId="23B43CEE" w:rsidR="00003D6E" w:rsidRPr="008E1C7E" w:rsidRDefault="00D505D8" w:rsidP="006C56F4">
            <w:pPr>
              <w:spacing w:line="360" w:lineRule="auto"/>
              <w:rPr>
                <w:rFonts w:ascii="Arial" w:hAnsi="Arial" w:cs="Arial"/>
                <w:sz w:val="20"/>
                <w:szCs w:val="20"/>
              </w:rPr>
            </w:pPr>
            <w:r>
              <w:rPr>
                <w:rFonts w:ascii="Arial" w:hAnsi="Arial" w:cs="Arial"/>
                <w:sz w:val="20"/>
                <w:szCs w:val="20"/>
              </w:rPr>
              <w:t>76.6 (88.0)</w:t>
            </w:r>
          </w:p>
        </w:tc>
      </w:tr>
    </w:tbl>
    <w:p w14:paraId="19612D77" w14:textId="31AF7687" w:rsidR="003E56E9" w:rsidRDefault="00F46850" w:rsidP="00EB1580">
      <w:pPr>
        <w:spacing w:line="360" w:lineRule="auto"/>
        <w:rPr>
          <w:rFonts w:ascii="Times New Roman" w:hAnsi="Times New Roman"/>
        </w:rPr>
      </w:pPr>
      <w:r>
        <w:rPr>
          <w:rFonts w:ascii="Times New Roman" w:hAnsi="Times New Roman"/>
        </w:rPr>
        <w:t>*P&lt;0.05; **P&lt;0.01</w:t>
      </w:r>
    </w:p>
    <w:p w14:paraId="40033A67" w14:textId="0ACBC502" w:rsidR="0083200D" w:rsidRPr="00BB2653" w:rsidRDefault="003E56E9" w:rsidP="0083200D">
      <w:pPr>
        <w:spacing w:line="360" w:lineRule="auto"/>
        <w:rPr>
          <w:rFonts w:ascii="Times New Roman" w:hAnsi="Times New Roman"/>
        </w:rPr>
      </w:pPr>
      <w:r>
        <w:rPr>
          <w:rFonts w:ascii="Times New Roman" w:hAnsi="Times New Roman"/>
        </w:rPr>
        <w:br w:type="column"/>
      </w:r>
      <w:r w:rsidR="0083200D">
        <w:rPr>
          <w:rFonts w:ascii="Times New Roman" w:hAnsi="Times New Roman"/>
          <w:u w:val="single"/>
        </w:rPr>
        <w:lastRenderedPageBreak/>
        <w:t xml:space="preserve">Appendix </w:t>
      </w:r>
      <w:r w:rsidR="00333B76">
        <w:rPr>
          <w:rFonts w:ascii="Times New Roman" w:hAnsi="Times New Roman"/>
          <w:u w:val="single"/>
        </w:rPr>
        <w:t>Figure</w:t>
      </w:r>
      <w:r w:rsidR="0083200D">
        <w:rPr>
          <w:rFonts w:ascii="Times New Roman" w:hAnsi="Times New Roman"/>
          <w:u w:val="single"/>
        </w:rPr>
        <w:t xml:space="preserve"> 2:</w:t>
      </w:r>
      <w:r w:rsidR="0083200D">
        <w:rPr>
          <w:rFonts w:ascii="Times New Roman" w:hAnsi="Times New Roman"/>
        </w:rPr>
        <w:t xml:space="preserve"> </w:t>
      </w:r>
      <w:r w:rsidR="00B873FE">
        <w:rPr>
          <w:rFonts w:ascii="Times New Roman" w:hAnsi="Times New Roman"/>
        </w:rPr>
        <w:t>Lagged regressions</w:t>
      </w:r>
      <w:r w:rsidR="002F6397">
        <w:rPr>
          <w:rFonts w:ascii="Times New Roman" w:hAnsi="Times New Roman"/>
        </w:rPr>
        <w:t>.</w:t>
      </w:r>
      <w:r w:rsidR="0083200D">
        <w:rPr>
          <w:rFonts w:ascii="Times New Roman" w:hAnsi="Times New Roman"/>
        </w:rPr>
        <w:t xml:space="preserve"> Results of fixed effects regressions with single period lags, relating primary care physician density and county-level covariates to county-level life expectancy at birth and cause-specific mortality (N=3,142 U.S. counties), 2005-2015</w:t>
      </w:r>
      <w:r w:rsidR="00DE04C2">
        <w:rPr>
          <w:rFonts w:ascii="Times New Roman" w:hAnsi="Times New Roman"/>
        </w:rPr>
        <w:t>.</w:t>
      </w:r>
    </w:p>
    <w:tbl>
      <w:tblPr>
        <w:tblStyle w:val="TableGrid"/>
        <w:tblW w:w="13721" w:type="dxa"/>
        <w:tblLook w:val="04A0" w:firstRow="1" w:lastRow="0" w:firstColumn="1" w:lastColumn="0" w:noHBand="0" w:noVBand="1"/>
      </w:tblPr>
      <w:tblGrid>
        <w:gridCol w:w="1735"/>
        <w:gridCol w:w="1269"/>
        <w:gridCol w:w="1379"/>
        <w:gridCol w:w="1631"/>
        <w:gridCol w:w="1388"/>
        <w:gridCol w:w="1394"/>
        <w:gridCol w:w="1776"/>
        <w:gridCol w:w="1684"/>
        <w:gridCol w:w="1465"/>
      </w:tblGrid>
      <w:tr w:rsidR="00B56899" w:rsidRPr="008E1C7E" w14:paraId="34D0EF14" w14:textId="77777777" w:rsidTr="006E462C">
        <w:trPr>
          <w:trHeight w:val="296"/>
        </w:trPr>
        <w:tc>
          <w:tcPr>
            <w:tcW w:w="0" w:type="auto"/>
            <w:vMerge w:val="restart"/>
          </w:tcPr>
          <w:p w14:paraId="5752FB38" w14:textId="25FBA3CB" w:rsidR="00B56899" w:rsidRPr="008E1C7E" w:rsidRDefault="00B56899" w:rsidP="00BC48F9">
            <w:pPr>
              <w:spacing w:line="360" w:lineRule="auto"/>
              <w:rPr>
                <w:rFonts w:ascii="Arial" w:hAnsi="Arial" w:cs="Arial"/>
                <w:b/>
                <w:sz w:val="20"/>
                <w:szCs w:val="20"/>
              </w:rPr>
            </w:pPr>
            <w:r>
              <w:rPr>
                <w:rFonts w:ascii="Arial" w:hAnsi="Arial" w:cs="Arial"/>
                <w:b/>
                <w:sz w:val="20"/>
                <w:szCs w:val="20"/>
              </w:rPr>
              <w:t xml:space="preserve">Lagged </w:t>
            </w:r>
            <w:r w:rsidRPr="008E1C7E">
              <w:rPr>
                <w:rFonts w:ascii="Arial" w:hAnsi="Arial" w:cs="Arial"/>
                <w:b/>
                <w:sz w:val="20"/>
                <w:szCs w:val="20"/>
              </w:rPr>
              <w:t>Covariate</w:t>
            </w:r>
          </w:p>
        </w:tc>
        <w:tc>
          <w:tcPr>
            <w:tcW w:w="11982" w:type="dxa"/>
            <w:gridSpan w:val="8"/>
          </w:tcPr>
          <w:p w14:paraId="257C8397" w14:textId="54A7BE16" w:rsidR="00B56899" w:rsidRPr="008E1C7E" w:rsidRDefault="00B56899" w:rsidP="00BC48F9">
            <w:pPr>
              <w:spacing w:line="360" w:lineRule="auto"/>
              <w:rPr>
                <w:rFonts w:ascii="Arial" w:hAnsi="Arial" w:cs="Arial"/>
                <w:b/>
                <w:sz w:val="20"/>
                <w:szCs w:val="20"/>
              </w:rPr>
            </w:pPr>
            <w:r w:rsidRPr="008E1C7E">
              <w:rPr>
                <w:rFonts w:ascii="Arial" w:hAnsi="Arial" w:cs="Arial"/>
                <w:b/>
                <w:sz w:val="20"/>
                <w:szCs w:val="20"/>
              </w:rPr>
              <w:t xml:space="preserve">Change in outcome given </w:t>
            </w:r>
            <w:r>
              <w:rPr>
                <w:rFonts w:ascii="Arial" w:hAnsi="Arial" w:cs="Arial"/>
                <w:b/>
                <w:sz w:val="20"/>
                <w:szCs w:val="20"/>
              </w:rPr>
              <w:t xml:space="preserve">a 1 SD increase </w:t>
            </w:r>
            <w:r w:rsidRPr="008E1C7E">
              <w:rPr>
                <w:rFonts w:ascii="Arial" w:hAnsi="Arial" w:cs="Arial"/>
                <w:b/>
                <w:sz w:val="20"/>
                <w:szCs w:val="20"/>
              </w:rPr>
              <w:t xml:space="preserve">in </w:t>
            </w:r>
            <w:r>
              <w:rPr>
                <w:rFonts w:ascii="Arial" w:hAnsi="Arial" w:cs="Arial"/>
                <w:b/>
                <w:sz w:val="20"/>
                <w:szCs w:val="20"/>
              </w:rPr>
              <w:t xml:space="preserve">lagged </w:t>
            </w:r>
            <w:r w:rsidRPr="008E1C7E">
              <w:rPr>
                <w:rFonts w:ascii="Arial" w:hAnsi="Arial" w:cs="Arial"/>
                <w:b/>
                <w:sz w:val="20"/>
                <w:szCs w:val="20"/>
              </w:rPr>
              <w:t>covariate</w:t>
            </w:r>
            <w:r>
              <w:rPr>
                <w:rFonts w:ascii="Arial" w:hAnsi="Arial" w:cs="Arial"/>
                <w:b/>
                <w:sz w:val="20"/>
                <w:szCs w:val="20"/>
              </w:rPr>
              <w:t>, mean (SE)</w:t>
            </w:r>
          </w:p>
        </w:tc>
      </w:tr>
      <w:tr w:rsidR="00B56899" w:rsidRPr="008E1C7E" w14:paraId="7B34E201" w14:textId="77777777" w:rsidTr="00BC48F9">
        <w:tc>
          <w:tcPr>
            <w:tcW w:w="0" w:type="auto"/>
            <w:vMerge/>
          </w:tcPr>
          <w:p w14:paraId="4E70A715" w14:textId="77777777" w:rsidR="00B56899" w:rsidRPr="008E1C7E" w:rsidRDefault="00B56899" w:rsidP="00BC48F9">
            <w:pPr>
              <w:spacing w:line="360" w:lineRule="auto"/>
              <w:rPr>
                <w:rFonts w:ascii="Arial" w:hAnsi="Arial" w:cs="Arial"/>
                <w:b/>
                <w:sz w:val="20"/>
                <w:szCs w:val="20"/>
              </w:rPr>
            </w:pPr>
          </w:p>
        </w:tc>
        <w:tc>
          <w:tcPr>
            <w:tcW w:w="0" w:type="auto"/>
          </w:tcPr>
          <w:p w14:paraId="52C6C225" w14:textId="77777777" w:rsidR="00B56899" w:rsidRPr="00F47498" w:rsidRDefault="00B56899" w:rsidP="00BC48F9">
            <w:pPr>
              <w:spacing w:line="360" w:lineRule="auto"/>
              <w:rPr>
                <w:rFonts w:ascii="Arial" w:hAnsi="Arial" w:cs="Arial"/>
                <w:sz w:val="20"/>
                <w:szCs w:val="20"/>
                <w:highlight w:val="yellow"/>
              </w:rPr>
            </w:pPr>
            <w:r w:rsidRPr="00F0279C">
              <w:rPr>
                <w:rFonts w:ascii="Arial" w:hAnsi="Arial" w:cs="Arial"/>
                <w:sz w:val="20"/>
                <w:szCs w:val="20"/>
              </w:rPr>
              <w:t>Life expectancy (days)</w:t>
            </w:r>
          </w:p>
        </w:tc>
        <w:tc>
          <w:tcPr>
            <w:tcW w:w="0" w:type="auto"/>
          </w:tcPr>
          <w:p w14:paraId="2E12E666" w14:textId="77777777" w:rsidR="00B56899" w:rsidRPr="00F47498" w:rsidRDefault="00B56899" w:rsidP="00BC48F9">
            <w:pPr>
              <w:spacing w:line="360" w:lineRule="auto"/>
              <w:rPr>
                <w:rFonts w:ascii="Arial" w:hAnsi="Arial" w:cs="Arial"/>
                <w:sz w:val="20"/>
                <w:szCs w:val="20"/>
                <w:highlight w:val="yellow"/>
              </w:rPr>
            </w:pPr>
            <w:r w:rsidRPr="00820387">
              <w:rPr>
                <w:rFonts w:ascii="Arial" w:hAnsi="Arial" w:cs="Arial"/>
                <w:sz w:val="20"/>
                <w:szCs w:val="20"/>
              </w:rPr>
              <w:t>Cancer mortality (deaths/mil.)</w:t>
            </w:r>
          </w:p>
        </w:tc>
        <w:tc>
          <w:tcPr>
            <w:tcW w:w="0" w:type="auto"/>
          </w:tcPr>
          <w:p w14:paraId="261DB28B" w14:textId="77777777" w:rsidR="00B56899" w:rsidRPr="00F47498" w:rsidRDefault="00B56899" w:rsidP="00BC48F9">
            <w:pPr>
              <w:spacing w:line="360" w:lineRule="auto"/>
              <w:rPr>
                <w:rFonts w:ascii="Arial" w:hAnsi="Arial" w:cs="Arial"/>
                <w:sz w:val="20"/>
                <w:szCs w:val="20"/>
                <w:highlight w:val="yellow"/>
              </w:rPr>
            </w:pPr>
            <w:r w:rsidRPr="00442400">
              <w:rPr>
                <w:rFonts w:ascii="Arial" w:hAnsi="Arial" w:cs="Arial"/>
                <w:sz w:val="20"/>
                <w:szCs w:val="20"/>
              </w:rPr>
              <w:t>Cardiovascular mortality (deaths/mil.)</w:t>
            </w:r>
          </w:p>
        </w:tc>
        <w:tc>
          <w:tcPr>
            <w:tcW w:w="0" w:type="auto"/>
          </w:tcPr>
          <w:p w14:paraId="5C575004" w14:textId="77777777" w:rsidR="00B56899" w:rsidRPr="00F47498" w:rsidRDefault="00B56899" w:rsidP="00BC48F9">
            <w:pPr>
              <w:spacing w:line="360" w:lineRule="auto"/>
              <w:rPr>
                <w:rFonts w:ascii="Arial" w:hAnsi="Arial" w:cs="Arial"/>
                <w:sz w:val="20"/>
                <w:szCs w:val="20"/>
                <w:highlight w:val="yellow"/>
              </w:rPr>
            </w:pPr>
            <w:r w:rsidRPr="00016259">
              <w:rPr>
                <w:rFonts w:ascii="Arial" w:hAnsi="Arial" w:cs="Arial"/>
                <w:sz w:val="20"/>
                <w:szCs w:val="20"/>
              </w:rPr>
              <w:t>Infectious mortality (deaths/mil.)</w:t>
            </w:r>
          </w:p>
        </w:tc>
        <w:tc>
          <w:tcPr>
            <w:tcW w:w="0" w:type="auto"/>
          </w:tcPr>
          <w:p w14:paraId="1CA59B46" w14:textId="77777777" w:rsidR="00B56899" w:rsidRPr="00F47498" w:rsidRDefault="00B56899" w:rsidP="00BC48F9">
            <w:pPr>
              <w:spacing w:line="360" w:lineRule="auto"/>
              <w:rPr>
                <w:rFonts w:ascii="Arial" w:hAnsi="Arial" w:cs="Arial"/>
                <w:sz w:val="20"/>
                <w:szCs w:val="20"/>
                <w:highlight w:val="yellow"/>
              </w:rPr>
            </w:pPr>
            <w:r w:rsidRPr="00984E85">
              <w:rPr>
                <w:rFonts w:ascii="Arial" w:hAnsi="Arial" w:cs="Arial"/>
                <w:sz w:val="20"/>
                <w:szCs w:val="20"/>
              </w:rPr>
              <w:t>Respiratory mortality (deaths/mil.)</w:t>
            </w:r>
          </w:p>
        </w:tc>
        <w:tc>
          <w:tcPr>
            <w:tcW w:w="0" w:type="auto"/>
          </w:tcPr>
          <w:p w14:paraId="18427C89" w14:textId="6CCAABFE" w:rsidR="00B56899" w:rsidRPr="00F47498" w:rsidRDefault="00B66795" w:rsidP="00BC48F9">
            <w:pPr>
              <w:spacing w:line="360" w:lineRule="auto"/>
              <w:rPr>
                <w:rFonts w:ascii="Arial" w:hAnsi="Arial" w:cs="Arial"/>
                <w:sz w:val="20"/>
                <w:szCs w:val="20"/>
                <w:highlight w:val="yellow"/>
              </w:rPr>
            </w:pPr>
            <w:r w:rsidRPr="008B516A">
              <w:rPr>
                <w:rFonts w:ascii="Arial" w:hAnsi="Arial" w:cs="Arial"/>
                <w:sz w:val="20"/>
                <w:szCs w:val="20"/>
              </w:rPr>
              <w:t>S</w:t>
            </w:r>
            <w:r w:rsidR="00B56899" w:rsidRPr="008B516A">
              <w:rPr>
                <w:rFonts w:ascii="Arial" w:hAnsi="Arial" w:cs="Arial"/>
                <w:sz w:val="20"/>
                <w:szCs w:val="20"/>
              </w:rPr>
              <w:t>ubstance</w:t>
            </w:r>
            <w:r w:rsidRPr="008B516A">
              <w:rPr>
                <w:rFonts w:ascii="Arial" w:hAnsi="Arial" w:cs="Arial"/>
                <w:sz w:val="20"/>
                <w:szCs w:val="20"/>
              </w:rPr>
              <w:t>/injury</w:t>
            </w:r>
            <w:r w:rsidR="00B56899" w:rsidRPr="008B516A">
              <w:rPr>
                <w:rFonts w:ascii="Arial" w:hAnsi="Arial" w:cs="Arial"/>
                <w:sz w:val="20"/>
                <w:szCs w:val="20"/>
              </w:rPr>
              <w:t xml:space="preserve"> mortality (deaths/mil.)</w:t>
            </w:r>
          </w:p>
        </w:tc>
        <w:tc>
          <w:tcPr>
            <w:tcW w:w="0" w:type="auto"/>
          </w:tcPr>
          <w:p w14:paraId="49B05EC6" w14:textId="77777777" w:rsidR="00B56899" w:rsidRPr="00F47498" w:rsidRDefault="00B56899" w:rsidP="00BC48F9">
            <w:pPr>
              <w:spacing w:line="360" w:lineRule="auto"/>
              <w:rPr>
                <w:rFonts w:ascii="Arial" w:hAnsi="Arial" w:cs="Arial"/>
                <w:sz w:val="20"/>
                <w:szCs w:val="20"/>
                <w:highlight w:val="yellow"/>
              </w:rPr>
            </w:pPr>
            <w:r w:rsidRPr="007A717F">
              <w:rPr>
                <w:rFonts w:ascii="Arial" w:hAnsi="Arial" w:cs="Arial"/>
                <w:sz w:val="20"/>
                <w:szCs w:val="20"/>
              </w:rPr>
              <w:t>Preventable hospitalizations (stays/10,000)</w:t>
            </w:r>
          </w:p>
        </w:tc>
        <w:tc>
          <w:tcPr>
            <w:tcW w:w="0" w:type="auto"/>
          </w:tcPr>
          <w:p w14:paraId="0E30A4F4" w14:textId="77777777" w:rsidR="00B56899" w:rsidRPr="00F47498" w:rsidRDefault="00B56899" w:rsidP="00BC48F9">
            <w:pPr>
              <w:spacing w:line="360" w:lineRule="auto"/>
              <w:rPr>
                <w:rFonts w:ascii="Arial" w:hAnsi="Arial" w:cs="Arial"/>
                <w:sz w:val="20"/>
                <w:szCs w:val="20"/>
                <w:highlight w:val="yellow"/>
              </w:rPr>
            </w:pPr>
            <w:r w:rsidRPr="00C16900">
              <w:rPr>
                <w:rFonts w:ascii="Arial" w:hAnsi="Arial" w:cs="Arial"/>
                <w:sz w:val="20"/>
                <w:szCs w:val="20"/>
              </w:rPr>
              <w:t>Premature deaths (years lost/100,000)</w:t>
            </w:r>
          </w:p>
        </w:tc>
      </w:tr>
      <w:tr w:rsidR="00B56899" w:rsidRPr="008E1C7E" w14:paraId="3978198C" w14:textId="77777777" w:rsidTr="00BC48F9">
        <w:tc>
          <w:tcPr>
            <w:tcW w:w="0" w:type="auto"/>
          </w:tcPr>
          <w:p w14:paraId="36CF3780" w14:textId="77777777" w:rsidR="00B56899" w:rsidRPr="008E1C7E" w:rsidRDefault="00B56899" w:rsidP="00BC48F9">
            <w:pPr>
              <w:spacing w:line="360" w:lineRule="auto"/>
              <w:rPr>
                <w:rFonts w:ascii="Arial" w:hAnsi="Arial" w:cs="Arial"/>
                <w:b/>
                <w:sz w:val="20"/>
                <w:szCs w:val="20"/>
              </w:rPr>
            </w:pPr>
            <w:r w:rsidRPr="008E1C7E">
              <w:rPr>
                <w:rFonts w:ascii="Arial" w:hAnsi="Arial" w:cs="Arial"/>
                <w:sz w:val="20"/>
                <w:szCs w:val="20"/>
              </w:rPr>
              <w:t>Primary care physicians per 10,000 population</w:t>
            </w:r>
          </w:p>
        </w:tc>
        <w:tc>
          <w:tcPr>
            <w:tcW w:w="0" w:type="auto"/>
          </w:tcPr>
          <w:p w14:paraId="4690FC25" w14:textId="0BCF51F9" w:rsidR="00B56899" w:rsidRPr="008E1C7E" w:rsidRDefault="0039365E" w:rsidP="00BC48F9">
            <w:pPr>
              <w:spacing w:line="360" w:lineRule="auto"/>
              <w:rPr>
                <w:rFonts w:ascii="Arial" w:hAnsi="Arial" w:cs="Arial"/>
                <w:sz w:val="20"/>
                <w:szCs w:val="20"/>
              </w:rPr>
            </w:pPr>
            <w:r>
              <w:rPr>
                <w:rFonts w:ascii="Arial" w:hAnsi="Arial" w:cs="Arial"/>
                <w:sz w:val="20"/>
                <w:szCs w:val="20"/>
              </w:rPr>
              <w:t>2.0 (2.8)</w:t>
            </w:r>
          </w:p>
        </w:tc>
        <w:tc>
          <w:tcPr>
            <w:tcW w:w="0" w:type="auto"/>
          </w:tcPr>
          <w:p w14:paraId="4325FEB1" w14:textId="634F7A52" w:rsidR="00B56899" w:rsidRPr="008E1C7E" w:rsidRDefault="009748EE" w:rsidP="00BC48F9">
            <w:pPr>
              <w:spacing w:line="360" w:lineRule="auto"/>
              <w:rPr>
                <w:rFonts w:ascii="Arial" w:hAnsi="Arial" w:cs="Arial"/>
                <w:sz w:val="20"/>
                <w:szCs w:val="20"/>
              </w:rPr>
            </w:pPr>
            <w:r>
              <w:rPr>
                <w:rFonts w:ascii="Arial" w:hAnsi="Arial" w:cs="Arial"/>
                <w:sz w:val="20"/>
                <w:szCs w:val="20"/>
              </w:rPr>
              <w:t>-1.3 (2.1)</w:t>
            </w:r>
          </w:p>
        </w:tc>
        <w:tc>
          <w:tcPr>
            <w:tcW w:w="0" w:type="auto"/>
          </w:tcPr>
          <w:p w14:paraId="23A8B1AE" w14:textId="64CDA737" w:rsidR="00B56899" w:rsidRPr="008E1C7E" w:rsidRDefault="00FD6F97" w:rsidP="00BC48F9">
            <w:pPr>
              <w:spacing w:line="360" w:lineRule="auto"/>
              <w:rPr>
                <w:rFonts w:ascii="Arial" w:hAnsi="Arial" w:cs="Arial"/>
                <w:sz w:val="20"/>
                <w:szCs w:val="20"/>
              </w:rPr>
            </w:pPr>
            <w:r>
              <w:rPr>
                <w:rFonts w:ascii="Arial" w:hAnsi="Arial" w:cs="Arial"/>
                <w:sz w:val="20"/>
                <w:szCs w:val="20"/>
              </w:rPr>
              <w:t>-2.3 (3.4)</w:t>
            </w:r>
          </w:p>
        </w:tc>
        <w:tc>
          <w:tcPr>
            <w:tcW w:w="0" w:type="auto"/>
          </w:tcPr>
          <w:p w14:paraId="19B530D6" w14:textId="55ADBDE3" w:rsidR="00B56899" w:rsidRPr="008E1C7E" w:rsidRDefault="00016259" w:rsidP="00BC48F9">
            <w:pPr>
              <w:spacing w:line="360" w:lineRule="auto"/>
              <w:rPr>
                <w:rFonts w:ascii="Arial" w:hAnsi="Arial" w:cs="Arial"/>
                <w:sz w:val="20"/>
                <w:szCs w:val="20"/>
              </w:rPr>
            </w:pPr>
            <w:r>
              <w:rPr>
                <w:rFonts w:ascii="Arial" w:hAnsi="Arial" w:cs="Arial"/>
                <w:sz w:val="20"/>
                <w:szCs w:val="20"/>
              </w:rPr>
              <w:t>0.3 (0.7)</w:t>
            </w:r>
          </w:p>
        </w:tc>
        <w:tc>
          <w:tcPr>
            <w:tcW w:w="0" w:type="auto"/>
          </w:tcPr>
          <w:p w14:paraId="571F464D" w14:textId="2EC13A21" w:rsidR="00B56899" w:rsidRPr="008E1C7E" w:rsidRDefault="00617612" w:rsidP="00BC48F9">
            <w:pPr>
              <w:spacing w:line="360" w:lineRule="auto"/>
              <w:rPr>
                <w:rFonts w:ascii="Arial" w:hAnsi="Arial" w:cs="Arial"/>
                <w:sz w:val="20"/>
                <w:szCs w:val="20"/>
              </w:rPr>
            </w:pPr>
            <w:r>
              <w:rPr>
                <w:rFonts w:ascii="Arial" w:hAnsi="Arial" w:cs="Arial"/>
                <w:sz w:val="20"/>
                <w:szCs w:val="20"/>
              </w:rPr>
              <w:t>0.08 (1.0)</w:t>
            </w:r>
          </w:p>
        </w:tc>
        <w:tc>
          <w:tcPr>
            <w:tcW w:w="0" w:type="auto"/>
          </w:tcPr>
          <w:p w14:paraId="65D8D987" w14:textId="667EE34C" w:rsidR="00B56899" w:rsidRPr="008E1C7E" w:rsidRDefault="004B7565" w:rsidP="00BC48F9">
            <w:pPr>
              <w:spacing w:line="360" w:lineRule="auto"/>
              <w:rPr>
                <w:rFonts w:ascii="Arial" w:hAnsi="Arial" w:cs="Arial"/>
                <w:sz w:val="20"/>
                <w:szCs w:val="20"/>
              </w:rPr>
            </w:pPr>
            <w:r>
              <w:rPr>
                <w:rFonts w:ascii="Arial" w:hAnsi="Arial" w:cs="Arial"/>
                <w:sz w:val="20"/>
                <w:szCs w:val="20"/>
              </w:rPr>
              <w:t>0.3 (0.7)</w:t>
            </w:r>
          </w:p>
        </w:tc>
        <w:tc>
          <w:tcPr>
            <w:tcW w:w="0" w:type="auto"/>
          </w:tcPr>
          <w:p w14:paraId="4B1DFCEA" w14:textId="3023C4AC" w:rsidR="00B56899" w:rsidRPr="008E1C7E" w:rsidRDefault="007A717F" w:rsidP="00BC48F9">
            <w:pPr>
              <w:spacing w:line="360" w:lineRule="auto"/>
              <w:rPr>
                <w:rFonts w:ascii="Arial" w:hAnsi="Arial" w:cs="Arial"/>
                <w:sz w:val="20"/>
                <w:szCs w:val="20"/>
              </w:rPr>
            </w:pPr>
            <w:r>
              <w:rPr>
                <w:rFonts w:ascii="Arial" w:hAnsi="Arial" w:cs="Arial"/>
                <w:sz w:val="20"/>
                <w:szCs w:val="20"/>
              </w:rPr>
              <w:t>-6.6 (11.7)</w:t>
            </w:r>
          </w:p>
        </w:tc>
        <w:tc>
          <w:tcPr>
            <w:tcW w:w="0" w:type="auto"/>
          </w:tcPr>
          <w:p w14:paraId="587C73EC" w14:textId="63537F8D" w:rsidR="00B56899" w:rsidRPr="008E1C7E" w:rsidRDefault="00BB4B28" w:rsidP="00BC48F9">
            <w:pPr>
              <w:spacing w:line="360" w:lineRule="auto"/>
              <w:rPr>
                <w:rFonts w:ascii="Arial" w:hAnsi="Arial" w:cs="Arial"/>
                <w:sz w:val="20"/>
                <w:szCs w:val="20"/>
              </w:rPr>
            </w:pPr>
            <w:r>
              <w:rPr>
                <w:rFonts w:ascii="Arial" w:hAnsi="Arial" w:cs="Arial"/>
                <w:sz w:val="20"/>
                <w:szCs w:val="20"/>
              </w:rPr>
              <w:t>77.3 (127.1)</w:t>
            </w:r>
          </w:p>
        </w:tc>
      </w:tr>
      <w:tr w:rsidR="00B56899" w:rsidRPr="008E1C7E" w14:paraId="32004836" w14:textId="77777777" w:rsidTr="00BC48F9">
        <w:tc>
          <w:tcPr>
            <w:tcW w:w="0" w:type="auto"/>
          </w:tcPr>
          <w:p w14:paraId="4F78F084"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Non-metro area, change to metro area</w:t>
            </w:r>
          </w:p>
        </w:tc>
        <w:tc>
          <w:tcPr>
            <w:tcW w:w="0" w:type="auto"/>
          </w:tcPr>
          <w:p w14:paraId="6DAFDDEE" w14:textId="6D4D5889" w:rsidR="00B56899" w:rsidRPr="008E1C7E" w:rsidRDefault="0039365E" w:rsidP="00BC48F9">
            <w:pPr>
              <w:spacing w:line="360" w:lineRule="auto"/>
              <w:rPr>
                <w:rFonts w:ascii="Arial" w:hAnsi="Arial" w:cs="Arial"/>
                <w:sz w:val="20"/>
                <w:szCs w:val="20"/>
              </w:rPr>
            </w:pPr>
            <w:r>
              <w:rPr>
                <w:rFonts w:ascii="Arial" w:hAnsi="Arial" w:cs="Arial"/>
                <w:sz w:val="20"/>
                <w:szCs w:val="20"/>
              </w:rPr>
              <w:t>1.7 (9.6)</w:t>
            </w:r>
          </w:p>
        </w:tc>
        <w:tc>
          <w:tcPr>
            <w:tcW w:w="0" w:type="auto"/>
          </w:tcPr>
          <w:p w14:paraId="0EE1D578" w14:textId="6137F14B" w:rsidR="00B56899" w:rsidRPr="008E1C7E" w:rsidRDefault="009748EE" w:rsidP="00BC48F9">
            <w:pPr>
              <w:spacing w:line="360" w:lineRule="auto"/>
              <w:rPr>
                <w:rFonts w:ascii="Arial" w:hAnsi="Arial" w:cs="Arial"/>
                <w:sz w:val="20"/>
                <w:szCs w:val="20"/>
              </w:rPr>
            </w:pPr>
            <w:r>
              <w:rPr>
                <w:rFonts w:ascii="Arial" w:hAnsi="Arial" w:cs="Arial"/>
                <w:sz w:val="20"/>
                <w:szCs w:val="20"/>
              </w:rPr>
              <w:t>1.0 (5.7)</w:t>
            </w:r>
          </w:p>
        </w:tc>
        <w:tc>
          <w:tcPr>
            <w:tcW w:w="0" w:type="auto"/>
          </w:tcPr>
          <w:p w14:paraId="08C7268D" w14:textId="40912BE6" w:rsidR="00B56899" w:rsidRPr="008E1C7E" w:rsidRDefault="00FD6F97" w:rsidP="00BC48F9">
            <w:pPr>
              <w:spacing w:line="360" w:lineRule="auto"/>
              <w:rPr>
                <w:rFonts w:ascii="Arial" w:hAnsi="Arial" w:cs="Arial"/>
                <w:sz w:val="20"/>
                <w:szCs w:val="20"/>
              </w:rPr>
            </w:pPr>
            <w:r>
              <w:rPr>
                <w:rFonts w:ascii="Arial" w:hAnsi="Arial" w:cs="Arial"/>
                <w:sz w:val="20"/>
                <w:szCs w:val="20"/>
              </w:rPr>
              <w:t>-16.8 (9.9)</w:t>
            </w:r>
          </w:p>
        </w:tc>
        <w:tc>
          <w:tcPr>
            <w:tcW w:w="0" w:type="auto"/>
          </w:tcPr>
          <w:p w14:paraId="5B1EAD69" w14:textId="4A692FDC" w:rsidR="00B56899" w:rsidRPr="008E1C7E" w:rsidRDefault="00016259" w:rsidP="00BC48F9">
            <w:pPr>
              <w:spacing w:line="360" w:lineRule="auto"/>
              <w:rPr>
                <w:rFonts w:ascii="Arial" w:hAnsi="Arial" w:cs="Arial"/>
                <w:sz w:val="20"/>
                <w:szCs w:val="20"/>
              </w:rPr>
            </w:pPr>
            <w:r>
              <w:rPr>
                <w:rFonts w:ascii="Arial" w:hAnsi="Arial" w:cs="Arial"/>
                <w:sz w:val="20"/>
                <w:szCs w:val="20"/>
              </w:rPr>
              <w:t>7.2 (</w:t>
            </w:r>
            <w:proofErr w:type="gramStart"/>
            <w:r>
              <w:rPr>
                <w:rFonts w:ascii="Arial" w:hAnsi="Arial" w:cs="Arial"/>
                <w:sz w:val="20"/>
                <w:szCs w:val="20"/>
              </w:rPr>
              <w:t>3.5)*</w:t>
            </w:r>
            <w:proofErr w:type="gramEnd"/>
          </w:p>
        </w:tc>
        <w:tc>
          <w:tcPr>
            <w:tcW w:w="0" w:type="auto"/>
          </w:tcPr>
          <w:p w14:paraId="42EF8C35" w14:textId="63C8EAEA" w:rsidR="00B56899" w:rsidRPr="008E1C7E" w:rsidRDefault="00617612" w:rsidP="00BC48F9">
            <w:pPr>
              <w:spacing w:line="360" w:lineRule="auto"/>
              <w:rPr>
                <w:rFonts w:ascii="Arial" w:hAnsi="Arial" w:cs="Arial"/>
                <w:sz w:val="20"/>
                <w:szCs w:val="20"/>
              </w:rPr>
            </w:pPr>
            <w:r>
              <w:rPr>
                <w:rFonts w:ascii="Arial" w:hAnsi="Arial" w:cs="Arial"/>
                <w:sz w:val="20"/>
                <w:szCs w:val="20"/>
              </w:rPr>
              <w:t>-0.2 (3.5)</w:t>
            </w:r>
          </w:p>
        </w:tc>
        <w:tc>
          <w:tcPr>
            <w:tcW w:w="0" w:type="auto"/>
          </w:tcPr>
          <w:p w14:paraId="7AE298C7" w14:textId="4DB7E28B" w:rsidR="00B56899" w:rsidRPr="008E1C7E" w:rsidRDefault="004B7565" w:rsidP="00BC48F9">
            <w:pPr>
              <w:spacing w:line="360" w:lineRule="auto"/>
              <w:rPr>
                <w:rFonts w:ascii="Arial" w:hAnsi="Arial" w:cs="Arial"/>
                <w:sz w:val="20"/>
                <w:szCs w:val="20"/>
              </w:rPr>
            </w:pPr>
            <w:r>
              <w:rPr>
                <w:rFonts w:ascii="Arial" w:hAnsi="Arial" w:cs="Arial"/>
                <w:sz w:val="20"/>
                <w:szCs w:val="20"/>
              </w:rPr>
              <w:t>1.1 (2.8)</w:t>
            </w:r>
          </w:p>
        </w:tc>
        <w:tc>
          <w:tcPr>
            <w:tcW w:w="0" w:type="auto"/>
          </w:tcPr>
          <w:p w14:paraId="620C0E17" w14:textId="30DD5802" w:rsidR="00B56899" w:rsidRPr="008E1C7E" w:rsidRDefault="007A717F" w:rsidP="00BC48F9">
            <w:pPr>
              <w:spacing w:line="360" w:lineRule="auto"/>
              <w:rPr>
                <w:rFonts w:ascii="Arial" w:hAnsi="Arial" w:cs="Arial"/>
                <w:sz w:val="20"/>
                <w:szCs w:val="20"/>
              </w:rPr>
            </w:pPr>
            <w:r>
              <w:rPr>
                <w:rFonts w:ascii="Arial" w:hAnsi="Arial" w:cs="Arial"/>
                <w:sz w:val="20"/>
                <w:szCs w:val="20"/>
              </w:rPr>
              <w:t>31.0 (21.0)</w:t>
            </w:r>
          </w:p>
        </w:tc>
        <w:tc>
          <w:tcPr>
            <w:tcW w:w="0" w:type="auto"/>
          </w:tcPr>
          <w:p w14:paraId="038575AE" w14:textId="44E4191E" w:rsidR="00B56899" w:rsidRPr="008E1C7E" w:rsidRDefault="00BB4B28" w:rsidP="00BC48F9">
            <w:pPr>
              <w:spacing w:line="360" w:lineRule="auto"/>
              <w:rPr>
                <w:rFonts w:ascii="Arial" w:hAnsi="Arial" w:cs="Arial"/>
                <w:sz w:val="20"/>
                <w:szCs w:val="20"/>
              </w:rPr>
            </w:pPr>
            <w:r>
              <w:rPr>
                <w:rFonts w:ascii="Arial" w:hAnsi="Arial" w:cs="Arial"/>
                <w:sz w:val="20"/>
                <w:szCs w:val="20"/>
              </w:rPr>
              <w:t>148.6 (177.5)</w:t>
            </w:r>
          </w:p>
        </w:tc>
      </w:tr>
      <w:tr w:rsidR="00B56899" w:rsidRPr="008E1C7E" w14:paraId="2680B6E2" w14:textId="77777777" w:rsidTr="00BC48F9">
        <w:tc>
          <w:tcPr>
            <w:tcW w:w="0" w:type="auto"/>
          </w:tcPr>
          <w:p w14:paraId="4FDF1BB4"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Population in poverty</w:t>
            </w:r>
          </w:p>
        </w:tc>
        <w:tc>
          <w:tcPr>
            <w:tcW w:w="0" w:type="auto"/>
          </w:tcPr>
          <w:p w14:paraId="3D36AB4C" w14:textId="1349C1D2" w:rsidR="00B56899" w:rsidRPr="008E1C7E" w:rsidRDefault="0039365E" w:rsidP="00BC48F9">
            <w:pPr>
              <w:spacing w:line="360" w:lineRule="auto"/>
              <w:rPr>
                <w:rFonts w:ascii="Arial" w:hAnsi="Arial" w:cs="Arial"/>
                <w:sz w:val="20"/>
                <w:szCs w:val="20"/>
              </w:rPr>
            </w:pPr>
            <w:r>
              <w:rPr>
                <w:rFonts w:ascii="Arial" w:hAnsi="Arial" w:cs="Arial"/>
                <w:sz w:val="20"/>
                <w:szCs w:val="20"/>
              </w:rPr>
              <w:t>16.5 (</w:t>
            </w:r>
            <w:proofErr w:type="gramStart"/>
            <w:r>
              <w:rPr>
                <w:rFonts w:ascii="Arial" w:hAnsi="Arial" w:cs="Arial"/>
                <w:sz w:val="20"/>
                <w:szCs w:val="20"/>
              </w:rPr>
              <w:t>6.0)*</w:t>
            </w:r>
            <w:proofErr w:type="gramEnd"/>
            <w:r>
              <w:rPr>
                <w:rFonts w:ascii="Arial" w:hAnsi="Arial" w:cs="Arial"/>
                <w:sz w:val="20"/>
                <w:szCs w:val="20"/>
              </w:rPr>
              <w:t>*</w:t>
            </w:r>
          </w:p>
        </w:tc>
        <w:tc>
          <w:tcPr>
            <w:tcW w:w="0" w:type="auto"/>
          </w:tcPr>
          <w:p w14:paraId="75565374" w14:textId="0995E4EE" w:rsidR="00B56899" w:rsidRPr="008E1C7E" w:rsidRDefault="00820387" w:rsidP="00BC48F9">
            <w:pPr>
              <w:spacing w:line="360" w:lineRule="auto"/>
              <w:rPr>
                <w:rFonts w:ascii="Arial" w:hAnsi="Arial" w:cs="Arial"/>
                <w:sz w:val="20"/>
                <w:szCs w:val="20"/>
              </w:rPr>
            </w:pPr>
            <w:r>
              <w:rPr>
                <w:rFonts w:ascii="Arial" w:hAnsi="Arial" w:cs="Arial"/>
                <w:sz w:val="20"/>
                <w:szCs w:val="20"/>
              </w:rPr>
              <w:t>-99.0 (</w:t>
            </w:r>
            <w:proofErr w:type="gramStart"/>
            <w:r>
              <w:rPr>
                <w:rFonts w:ascii="Arial" w:hAnsi="Arial" w:cs="Arial"/>
                <w:sz w:val="20"/>
                <w:szCs w:val="20"/>
              </w:rPr>
              <w:t>24.7)*</w:t>
            </w:r>
            <w:proofErr w:type="gramEnd"/>
            <w:r>
              <w:rPr>
                <w:rFonts w:ascii="Arial" w:hAnsi="Arial" w:cs="Arial"/>
                <w:sz w:val="20"/>
                <w:szCs w:val="20"/>
              </w:rPr>
              <w:t>*</w:t>
            </w:r>
          </w:p>
        </w:tc>
        <w:tc>
          <w:tcPr>
            <w:tcW w:w="0" w:type="auto"/>
          </w:tcPr>
          <w:p w14:paraId="0BCC88F9" w14:textId="042841FA" w:rsidR="00B56899" w:rsidRPr="008E1C7E" w:rsidRDefault="00FD6F97" w:rsidP="00BC48F9">
            <w:pPr>
              <w:spacing w:line="360" w:lineRule="auto"/>
              <w:rPr>
                <w:rFonts w:ascii="Arial" w:hAnsi="Arial" w:cs="Arial"/>
                <w:sz w:val="20"/>
                <w:szCs w:val="20"/>
              </w:rPr>
            </w:pPr>
            <w:r>
              <w:rPr>
                <w:rFonts w:ascii="Arial" w:hAnsi="Arial" w:cs="Arial"/>
                <w:sz w:val="20"/>
                <w:szCs w:val="20"/>
              </w:rPr>
              <w:t>-24.3 (</w:t>
            </w:r>
            <w:proofErr w:type="gramStart"/>
            <w:r>
              <w:rPr>
                <w:rFonts w:ascii="Arial" w:hAnsi="Arial" w:cs="Arial"/>
                <w:sz w:val="20"/>
                <w:szCs w:val="20"/>
              </w:rPr>
              <w:t>6.3)*</w:t>
            </w:r>
            <w:proofErr w:type="gramEnd"/>
            <w:r>
              <w:rPr>
                <w:rFonts w:ascii="Arial" w:hAnsi="Arial" w:cs="Arial"/>
                <w:sz w:val="20"/>
                <w:szCs w:val="20"/>
              </w:rPr>
              <w:t>*</w:t>
            </w:r>
          </w:p>
        </w:tc>
        <w:tc>
          <w:tcPr>
            <w:tcW w:w="0" w:type="auto"/>
          </w:tcPr>
          <w:p w14:paraId="40AF6770" w14:textId="01317DD6" w:rsidR="00B56899" w:rsidRPr="008E1C7E" w:rsidRDefault="00016259" w:rsidP="00BC48F9">
            <w:pPr>
              <w:spacing w:line="360" w:lineRule="auto"/>
              <w:rPr>
                <w:rFonts w:ascii="Arial" w:hAnsi="Arial" w:cs="Arial"/>
                <w:sz w:val="20"/>
                <w:szCs w:val="20"/>
              </w:rPr>
            </w:pPr>
            <w:r>
              <w:rPr>
                <w:rFonts w:ascii="Arial" w:hAnsi="Arial" w:cs="Arial"/>
                <w:sz w:val="20"/>
                <w:szCs w:val="20"/>
              </w:rPr>
              <w:t>-6.8 (</w:t>
            </w:r>
            <w:proofErr w:type="gramStart"/>
            <w:r>
              <w:rPr>
                <w:rFonts w:ascii="Arial" w:hAnsi="Arial" w:cs="Arial"/>
                <w:sz w:val="20"/>
                <w:szCs w:val="20"/>
              </w:rPr>
              <w:t>1.6)*</w:t>
            </w:r>
            <w:proofErr w:type="gramEnd"/>
            <w:r>
              <w:rPr>
                <w:rFonts w:ascii="Arial" w:hAnsi="Arial" w:cs="Arial"/>
                <w:sz w:val="20"/>
                <w:szCs w:val="20"/>
              </w:rPr>
              <w:t>*</w:t>
            </w:r>
          </w:p>
        </w:tc>
        <w:tc>
          <w:tcPr>
            <w:tcW w:w="0" w:type="auto"/>
          </w:tcPr>
          <w:p w14:paraId="24200942" w14:textId="48DBB7CF" w:rsidR="00B56899" w:rsidRPr="008E1C7E" w:rsidRDefault="00617612" w:rsidP="00BC48F9">
            <w:pPr>
              <w:spacing w:line="360" w:lineRule="auto"/>
              <w:rPr>
                <w:rFonts w:ascii="Arial" w:hAnsi="Arial" w:cs="Arial"/>
                <w:sz w:val="20"/>
                <w:szCs w:val="20"/>
              </w:rPr>
            </w:pPr>
            <w:r>
              <w:rPr>
                <w:rFonts w:ascii="Arial" w:hAnsi="Arial" w:cs="Arial"/>
                <w:sz w:val="20"/>
                <w:szCs w:val="20"/>
              </w:rPr>
              <w:t>0.5 (</w:t>
            </w:r>
            <w:r w:rsidR="00E73FFF">
              <w:rPr>
                <w:rFonts w:ascii="Arial" w:hAnsi="Arial" w:cs="Arial"/>
                <w:sz w:val="20"/>
                <w:szCs w:val="20"/>
              </w:rPr>
              <w:t>2.2)</w:t>
            </w:r>
          </w:p>
        </w:tc>
        <w:tc>
          <w:tcPr>
            <w:tcW w:w="0" w:type="auto"/>
          </w:tcPr>
          <w:p w14:paraId="7C0FED15" w14:textId="13E57686" w:rsidR="00B56899" w:rsidRPr="008E1C7E" w:rsidRDefault="004F54BF" w:rsidP="00BC48F9">
            <w:pPr>
              <w:spacing w:line="360" w:lineRule="auto"/>
              <w:rPr>
                <w:rFonts w:ascii="Arial" w:hAnsi="Arial" w:cs="Arial"/>
                <w:sz w:val="20"/>
                <w:szCs w:val="20"/>
              </w:rPr>
            </w:pPr>
            <w:r>
              <w:rPr>
                <w:rFonts w:ascii="Arial" w:hAnsi="Arial" w:cs="Arial"/>
                <w:sz w:val="20"/>
                <w:szCs w:val="20"/>
              </w:rPr>
              <w:t>-8.1 (</w:t>
            </w:r>
            <w:proofErr w:type="gramStart"/>
            <w:r>
              <w:rPr>
                <w:rFonts w:ascii="Arial" w:hAnsi="Arial" w:cs="Arial"/>
                <w:sz w:val="20"/>
                <w:szCs w:val="20"/>
              </w:rPr>
              <w:t>1.7)*</w:t>
            </w:r>
            <w:proofErr w:type="gramEnd"/>
            <w:r>
              <w:rPr>
                <w:rFonts w:ascii="Arial" w:hAnsi="Arial" w:cs="Arial"/>
                <w:sz w:val="20"/>
                <w:szCs w:val="20"/>
              </w:rPr>
              <w:t>*</w:t>
            </w:r>
          </w:p>
        </w:tc>
        <w:tc>
          <w:tcPr>
            <w:tcW w:w="0" w:type="auto"/>
          </w:tcPr>
          <w:p w14:paraId="0A07431B" w14:textId="3DE9B36D" w:rsidR="00B56899" w:rsidRPr="008E1C7E" w:rsidRDefault="007A717F" w:rsidP="00BC48F9">
            <w:pPr>
              <w:spacing w:line="360" w:lineRule="auto"/>
              <w:rPr>
                <w:rFonts w:ascii="Arial" w:hAnsi="Arial" w:cs="Arial"/>
                <w:sz w:val="20"/>
                <w:szCs w:val="20"/>
              </w:rPr>
            </w:pPr>
            <w:r>
              <w:rPr>
                <w:rFonts w:ascii="Arial" w:hAnsi="Arial" w:cs="Arial"/>
                <w:sz w:val="20"/>
                <w:szCs w:val="20"/>
              </w:rPr>
              <w:t>45.7 (</w:t>
            </w:r>
            <w:proofErr w:type="gramStart"/>
            <w:r>
              <w:rPr>
                <w:rFonts w:ascii="Arial" w:hAnsi="Arial" w:cs="Arial"/>
                <w:sz w:val="20"/>
                <w:szCs w:val="20"/>
              </w:rPr>
              <w:t>15.2)*</w:t>
            </w:r>
            <w:proofErr w:type="gramEnd"/>
            <w:r>
              <w:rPr>
                <w:rFonts w:ascii="Arial" w:hAnsi="Arial" w:cs="Arial"/>
                <w:sz w:val="20"/>
                <w:szCs w:val="20"/>
              </w:rPr>
              <w:t>*</w:t>
            </w:r>
          </w:p>
        </w:tc>
        <w:tc>
          <w:tcPr>
            <w:tcW w:w="0" w:type="auto"/>
          </w:tcPr>
          <w:p w14:paraId="53A61BAE" w14:textId="7DD093FE" w:rsidR="00B56899" w:rsidRPr="008E1C7E" w:rsidRDefault="00C16900" w:rsidP="00BC48F9">
            <w:pPr>
              <w:spacing w:line="360" w:lineRule="auto"/>
              <w:rPr>
                <w:rFonts w:ascii="Arial" w:hAnsi="Arial" w:cs="Arial"/>
                <w:sz w:val="20"/>
                <w:szCs w:val="20"/>
              </w:rPr>
            </w:pPr>
            <w:r>
              <w:rPr>
                <w:rFonts w:ascii="Arial" w:hAnsi="Arial" w:cs="Arial"/>
                <w:sz w:val="20"/>
                <w:szCs w:val="20"/>
              </w:rPr>
              <w:t>-16.0 (125.9)</w:t>
            </w:r>
          </w:p>
        </w:tc>
      </w:tr>
      <w:tr w:rsidR="00B56899" w:rsidRPr="008E1C7E" w14:paraId="36E685E6" w14:textId="77777777" w:rsidTr="00BC48F9">
        <w:tc>
          <w:tcPr>
            <w:tcW w:w="0" w:type="auto"/>
          </w:tcPr>
          <w:p w14:paraId="32F4B952" w14:textId="4092C12E" w:rsidR="00B56899" w:rsidRPr="008E1C7E" w:rsidRDefault="004F5C08" w:rsidP="00BC48F9">
            <w:pPr>
              <w:spacing w:line="360" w:lineRule="auto"/>
              <w:rPr>
                <w:rFonts w:ascii="Arial" w:hAnsi="Arial" w:cs="Arial"/>
                <w:sz w:val="20"/>
                <w:szCs w:val="20"/>
              </w:rPr>
            </w:pPr>
            <w:r>
              <w:rPr>
                <w:rFonts w:ascii="Arial" w:hAnsi="Arial" w:cs="Arial"/>
                <w:sz w:val="20"/>
                <w:szCs w:val="20"/>
              </w:rPr>
              <w:t>Population with less than high school education</w:t>
            </w:r>
          </w:p>
        </w:tc>
        <w:tc>
          <w:tcPr>
            <w:tcW w:w="0" w:type="auto"/>
          </w:tcPr>
          <w:p w14:paraId="7176419F" w14:textId="43ACE9C3" w:rsidR="00B56899" w:rsidRDefault="0039365E" w:rsidP="00BC48F9">
            <w:pPr>
              <w:spacing w:line="360" w:lineRule="auto"/>
              <w:rPr>
                <w:rFonts w:ascii="Arial" w:hAnsi="Arial" w:cs="Arial"/>
                <w:sz w:val="20"/>
                <w:szCs w:val="20"/>
              </w:rPr>
            </w:pPr>
            <w:r>
              <w:rPr>
                <w:rFonts w:ascii="Arial" w:hAnsi="Arial" w:cs="Arial"/>
                <w:sz w:val="20"/>
                <w:szCs w:val="20"/>
              </w:rPr>
              <w:t>37.8 (</w:t>
            </w:r>
            <w:proofErr w:type="gramStart"/>
            <w:r>
              <w:rPr>
                <w:rFonts w:ascii="Arial" w:hAnsi="Arial" w:cs="Arial"/>
                <w:sz w:val="20"/>
                <w:szCs w:val="20"/>
              </w:rPr>
              <w:t>6.9)*</w:t>
            </w:r>
            <w:proofErr w:type="gramEnd"/>
            <w:r>
              <w:rPr>
                <w:rFonts w:ascii="Arial" w:hAnsi="Arial" w:cs="Arial"/>
                <w:sz w:val="20"/>
                <w:szCs w:val="20"/>
              </w:rPr>
              <w:t>*</w:t>
            </w:r>
          </w:p>
        </w:tc>
        <w:tc>
          <w:tcPr>
            <w:tcW w:w="0" w:type="auto"/>
          </w:tcPr>
          <w:p w14:paraId="60C071DD" w14:textId="56C37DFE" w:rsidR="00B56899" w:rsidRPr="008E1C7E" w:rsidRDefault="00820387" w:rsidP="00BC48F9">
            <w:pPr>
              <w:spacing w:line="360" w:lineRule="auto"/>
              <w:rPr>
                <w:rFonts w:ascii="Arial" w:hAnsi="Arial" w:cs="Arial"/>
                <w:sz w:val="20"/>
                <w:szCs w:val="20"/>
              </w:rPr>
            </w:pPr>
            <w:r>
              <w:rPr>
                <w:rFonts w:ascii="Arial" w:hAnsi="Arial" w:cs="Arial"/>
                <w:sz w:val="20"/>
                <w:szCs w:val="20"/>
              </w:rPr>
              <w:t>-28.4 (</w:t>
            </w:r>
            <w:proofErr w:type="gramStart"/>
            <w:r>
              <w:rPr>
                <w:rFonts w:ascii="Arial" w:hAnsi="Arial" w:cs="Arial"/>
                <w:sz w:val="20"/>
                <w:szCs w:val="20"/>
              </w:rPr>
              <w:t>4.5)*</w:t>
            </w:r>
            <w:proofErr w:type="gramEnd"/>
            <w:r>
              <w:rPr>
                <w:rFonts w:ascii="Arial" w:hAnsi="Arial" w:cs="Arial"/>
                <w:sz w:val="20"/>
                <w:szCs w:val="20"/>
              </w:rPr>
              <w:t>*</w:t>
            </w:r>
          </w:p>
        </w:tc>
        <w:tc>
          <w:tcPr>
            <w:tcW w:w="0" w:type="auto"/>
          </w:tcPr>
          <w:p w14:paraId="51DD03ED" w14:textId="4CBF5339" w:rsidR="00B56899" w:rsidRPr="008E1C7E" w:rsidRDefault="00FD6F97" w:rsidP="00BC48F9">
            <w:pPr>
              <w:spacing w:line="360" w:lineRule="auto"/>
              <w:rPr>
                <w:rFonts w:ascii="Arial" w:hAnsi="Arial" w:cs="Arial"/>
                <w:sz w:val="20"/>
                <w:szCs w:val="20"/>
              </w:rPr>
            </w:pPr>
            <w:r>
              <w:rPr>
                <w:rFonts w:ascii="Arial" w:hAnsi="Arial" w:cs="Arial"/>
                <w:sz w:val="20"/>
                <w:szCs w:val="20"/>
              </w:rPr>
              <w:t>-2.0 (7.5)</w:t>
            </w:r>
          </w:p>
        </w:tc>
        <w:tc>
          <w:tcPr>
            <w:tcW w:w="0" w:type="auto"/>
          </w:tcPr>
          <w:p w14:paraId="26EC705E" w14:textId="6C00B913" w:rsidR="00B56899" w:rsidRPr="008E1C7E" w:rsidRDefault="00016259" w:rsidP="00BC48F9">
            <w:pPr>
              <w:spacing w:line="360" w:lineRule="auto"/>
              <w:rPr>
                <w:rFonts w:ascii="Arial" w:hAnsi="Arial" w:cs="Arial"/>
                <w:sz w:val="20"/>
                <w:szCs w:val="20"/>
              </w:rPr>
            </w:pPr>
            <w:r>
              <w:rPr>
                <w:rFonts w:ascii="Arial" w:hAnsi="Arial" w:cs="Arial"/>
                <w:sz w:val="20"/>
                <w:szCs w:val="20"/>
              </w:rPr>
              <w:t>-1.0 (1.6)</w:t>
            </w:r>
          </w:p>
        </w:tc>
        <w:tc>
          <w:tcPr>
            <w:tcW w:w="0" w:type="auto"/>
          </w:tcPr>
          <w:p w14:paraId="579F94BF" w14:textId="78547A5C" w:rsidR="00B56899" w:rsidRPr="008E1C7E" w:rsidRDefault="00E73FFF" w:rsidP="00BC48F9">
            <w:pPr>
              <w:spacing w:line="360" w:lineRule="auto"/>
              <w:rPr>
                <w:rFonts w:ascii="Arial" w:hAnsi="Arial" w:cs="Arial"/>
                <w:sz w:val="20"/>
                <w:szCs w:val="20"/>
              </w:rPr>
            </w:pPr>
            <w:r>
              <w:rPr>
                <w:rFonts w:ascii="Arial" w:hAnsi="Arial" w:cs="Arial"/>
                <w:sz w:val="20"/>
                <w:szCs w:val="20"/>
              </w:rPr>
              <w:t>-22.1 (</w:t>
            </w:r>
            <w:proofErr w:type="gramStart"/>
            <w:r>
              <w:rPr>
                <w:rFonts w:ascii="Arial" w:hAnsi="Arial" w:cs="Arial"/>
                <w:sz w:val="20"/>
                <w:szCs w:val="20"/>
              </w:rPr>
              <w:t>2.5)*</w:t>
            </w:r>
            <w:proofErr w:type="gramEnd"/>
            <w:r>
              <w:rPr>
                <w:rFonts w:ascii="Arial" w:hAnsi="Arial" w:cs="Arial"/>
                <w:sz w:val="20"/>
                <w:szCs w:val="20"/>
              </w:rPr>
              <w:t>*</w:t>
            </w:r>
          </w:p>
        </w:tc>
        <w:tc>
          <w:tcPr>
            <w:tcW w:w="0" w:type="auto"/>
          </w:tcPr>
          <w:p w14:paraId="201A51FC" w14:textId="16843F0F" w:rsidR="00B56899" w:rsidRPr="008E1C7E" w:rsidRDefault="004F54BF" w:rsidP="00BC48F9">
            <w:pPr>
              <w:spacing w:line="360" w:lineRule="auto"/>
              <w:rPr>
                <w:rFonts w:ascii="Arial" w:hAnsi="Arial" w:cs="Arial"/>
                <w:sz w:val="20"/>
                <w:szCs w:val="20"/>
              </w:rPr>
            </w:pPr>
            <w:r>
              <w:rPr>
                <w:rFonts w:ascii="Arial" w:hAnsi="Arial" w:cs="Arial"/>
                <w:sz w:val="20"/>
                <w:szCs w:val="20"/>
              </w:rPr>
              <w:t>0.3 (2.1)</w:t>
            </w:r>
          </w:p>
        </w:tc>
        <w:tc>
          <w:tcPr>
            <w:tcW w:w="0" w:type="auto"/>
          </w:tcPr>
          <w:p w14:paraId="2CC7E7EC" w14:textId="368D7E5A" w:rsidR="00B56899" w:rsidRPr="008E1C7E" w:rsidRDefault="007A717F" w:rsidP="00BC48F9">
            <w:pPr>
              <w:spacing w:line="360" w:lineRule="auto"/>
              <w:rPr>
                <w:rFonts w:ascii="Arial" w:hAnsi="Arial" w:cs="Arial"/>
                <w:sz w:val="20"/>
                <w:szCs w:val="20"/>
              </w:rPr>
            </w:pPr>
            <w:r>
              <w:rPr>
                <w:rFonts w:ascii="Arial" w:hAnsi="Arial" w:cs="Arial"/>
                <w:sz w:val="20"/>
                <w:szCs w:val="20"/>
              </w:rPr>
              <w:t>61.8 (</w:t>
            </w:r>
            <w:proofErr w:type="gramStart"/>
            <w:r>
              <w:rPr>
                <w:rFonts w:ascii="Arial" w:hAnsi="Arial" w:cs="Arial"/>
                <w:sz w:val="20"/>
                <w:szCs w:val="20"/>
              </w:rPr>
              <w:t>18.6)*</w:t>
            </w:r>
            <w:proofErr w:type="gramEnd"/>
            <w:r>
              <w:rPr>
                <w:rFonts w:ascii="Arial" w:hAnsi="Arial" w:cs="Arial"/>
                <w:sz w:val="20"/>
                <w:szCs w:val="20"/>
              </w:rPr>
              <w:t>*</w:t>
            </w:r>
          </w:p>
        </w:tc>
        <w:tc>
          <w:tcPr>
            <w:tcW w:w="0" w:type="auto"/>
          </w:tcPr>
          <w:p w14:paraId="0C190521" w14:textId="5FAC6BDD" w:rsidR="00B56899" w:rsidRPr="008E1C7E" w:rsidRDefault="00C16900" w:rsidP="00BC48F9">
            <w:pPr>
              <w:spacing w:line="360" w:lineRule="auto"/>
              <w:rPr>
                <w:rFonts w:ascii="Arial" w:hAnsi="Arial" w:cs="Arial"/>
                <w:sz w:val="20"/>
                <w:szCs w:val="20"/>
              </w:rPr>
            </w:pPr>
            <w:r>
              <w:rPr>
                <w:rFonts w:ascii="Arial" w:hAnsi="Arial" w:cs="Arial"/>
                <w:sz w:val="20"/>
                <w:szCs w:val="20"/>
              </w:rPr>
              <w:t>-33.4 (187.4)</w:t>
            </w:r>
          </w:p>
        </w:tc>
      </w:tr>
      <w:tr w:rsidR="00B56899" w:rsidRPr="008E1C7E" w14:paraId="19E2C61E" w14:textId="77777777" w:rsidTr="00BC48F9">
        <w:tc>
          <w:tcPr>
            <w:tcW w:w="0" w:type="auto"/>
          </w:tcPr>
          <w:p w14:paraId="44ABAA43"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Population Black</w:t>
            </w:r>
          </w:p>
        </w:tc>
        <w:tc>
          <w:tcPr>
            <w:tcW w:w="0" w:type="auto"/>
          </w:tcPr>
          <w:p w14:paraId="08AFA0CA" w14:textId="2CAAB23C" w:rsidR="00B56899" w:rsidRPr="008E1C7E" w:rsidRDefault="0039365E" w:rsidP="00BC48F9">
            <w:pPr>
              <w:spacing w:line="360" w:lineRule="auto"/>
              <w:rPr>
                <w:rFonts w:ascii="Arial" w:hAnsi="Arial" w:cs="Arial"/>
                <w:sz w:val="20"/>
                <w:szCs w:val="20"/>
              </w:rPr>
            </w:pPr>
            <w:r>
              <w:rPr>
                <w:rFonts w:ascii="Arial" w:hAnsi="Arial" w:cs="Arial"/>
                <w:sz w:val="20"/>
                <w:szCs w:val="20"/>
              </w:rPr>
              <w:t>26.2 (53.7)</w:t>
            </w:r>
          </w:p>
        </w:tc>
        <w:tc>
          <w:tcPr>
            <w:tcW w:w="0" w:type="auto"/>
          </w:tcPr>
          <w:p w14:paraId="54B80DB1" w14:textId="0A81CEED" w:rsidR="00B56899" w:rsidRPr="008E1C7E" w:rsidRDefault="00820387" w:rsidP="00BC48F9">
            <w:pPr>
              <w:spacing w:line="360" w:lineRule="auto"/>
              <w:rPr>
                <w:rFonts w:ascii="Arial" w:hAnsi="Arial" w:cs="Arial"/>
                <w:sz w:val="20"/>
                <w:szCs w:val="20"/>
              </w:rPr>
            </w:pPr>
            <w:r>
              <w:rPr>
                <w:rFonts w:ascii="Arial" w:hAnsi="Arial" w:cs="Arial"/>
                <w:sz w:val="20"/>
                <w:szCs w:val="20"/>
              </w:rPr>
              <w:t>-45.9 (28.6)</w:t>
            </w:r>
          </w:p>
        </w:tc>
        <w:tc>
          <w:tcPr>
            <w:tcW w:w="0" w:type="auto"/>
          </w:tcPr>
          <w:p w14:paraId="33F234DD" w14:textId="5B97831B" w:rsidR="00B56899" w:rsidRPr="008E1C7E" w:rsidRDefault="00FD6F97" w:rsidP="00BC48F9">
            <w:pPr>
              <w:spacing w:line="360" w:lineRule="auto"/>
              <w:rPr>
                <w:rFonts w:ascii="Arial" w:hAnsi="Arial" w:cs="Arial"/>
                <w:sz w:val="20"/>
                <w:szCs w:val="20"/>
              </w:rPr>
            </w:pPr>
            <w:r>
              <w:rPr>
                <w:rFonts w:ascii="Arial" w:hAnsi="Arial" w:cs="Arial"/>
                <w:sz w:val="20"/>
                <w:szCs w:val="20"/>
              </w:rPr>
              <w:t>-10.3 (56.0)</w:t>
            </w:r>
          </w:p>
        </w:tc>
        <w:tc>
          <w:tcPr>
            <w:tcW w:w="0" w:type="auto"/>
          </w:tcPr>
          <w:p w14:paraId="6DE2DBE6" w14:textId="538DBABD" w:rsidR="00B56899" w:rsidRPr="008E1C7E" w:rsidRDefault="00016259" w:rsidP="00BC48F9">
            <w:pPr>
              <w:spacing w:line="360" w:lineRule="auto"/>
              <w:rPr>
                <w:rFonts w:ascii="Arial" w:hAnsi="Arial" w:cs="Arial"/>
                <w:sz w:val="20"/>
                <w:szCs w:val="20"/>
              </w:rPr>
            </w:pPr>
            <w:r>
              <w:rPr>
                <w:rFonts w:ascii="Arial" w:hAnsi="Arial" w:cs="Arial"/>
                <w:sz w:val="20"/>
                <w:szCs w:val="20"/>
              </w:rPr>
              <w:t>25.3 (15.0)</w:t>
            </w:r>
          </w:p>
        </w:tc>
        <w:tc>
          <w:tcPr>
            <w:tcW w:w="0" w:type="auto"/>
          </w:tcPr>
          <w:p w14:paraId="331AE9B0" w14:textId="0193E534" w:rsidR="00B56899" w:rsidRPr="008E1C7E" w:rsidRDefault="00E73FFF" w:rsidP="00BC48F9">
            <w:pPr>
              <w:spacing w:line="360" w:lineRule="auto"/>
              <w:rPr>
                <w:rFonts w:ascii="Arial" w:hAnsi="Arial" w:cs="Arial"/>
                <w:sz w:val="20"/>
                <w:szCs w:val="20"/>
              </w:rPr>
            </w:pPr>
            <w:r>
              <w:rPr>
                <w:rFonts w:ascii="Arial" w:hAnsi="Arial" w:cs="Arial"/>
                <w:sz w:val="20"/>
                <w:szCs w:val="20"/>
              </w:rPr>
              <w:t>-34.1 (</w:t>
            </w:r>
            <w:proofErr w:type="gramStart"/>
            <w:r>
              <w:rPr>
                <w:rFonts w:ascii="Arial" w:hAnsi="Arial" w:cs="Arial"/>
                <w:sz w:val="20"/>
                <w:szCs w:val="20"/>
              </w:rPr>
              <w:t>15.9)*</w:t>
            </w:r>
            <w:proofErr w:type="gramEnd"/>
          </w:p>
        </w:tc>
        <w:tc>
          <w:tcPr>
            <w:tcW w:w="0" w:type="auto"/>
          </w:tcPr>
          <w:p w14:paraId="2A83C467" w14:textId="5BC60300" w:rsidR="00B56899" w:rsidRPr="008E1C7E" w:rsidRDefault="004F54BF" w:rsidP="00BC48F9">
            <w:pPr>
              <w:spacing w:line="360" w:lineRule="auto"/>
              <w:rPr>
                <w:rFonts w:ascii="Arial" w:hAnsi="Arial" w:cs="Arial"/>
                <w:sz w:val="20"/>
                <w:szCs w:val="20"/>
              </w:rPr>
            </w:pPr>
            <w:r>
              <w:rPr>
                <w:rFonts w:ascii="Arial" w:hAnsi="Arial" w:cs="Arial"/>
                <w:sz w:val="20"/>
                <w:szCs w:val="20"/>
              </w:rPr>
              <w:t>38.2 (</w:t>
            </w:r>
            <w:proofErr w:type="gramStart"/>
            <w:r>
              <w:rPr>
                <w:rFonts w:ascii="Arial" w:hAnsi="Arial" w:cs="Arial"/>
                <w:sz w:val="20"/>
                <w:szCs w:val="20"/>
              </w:rPr>
              <w:t>12.8)*</w:t>
            </w:r>
            <w:proofErr w:type="gramEnd"/>
            <w:r>
              <w:rPr>
                <w:rFonts w:ascii="Arial" w:hAnsi="Arial" w:cs="Arial"/>
                <w:sz w:val="20"/>
                <w:szCs w:val="20"/>
              </w:rPr>
              <w:t>*</w:t>
            </w:r>
          </w:p>
        </w:tc>
        <w:tc>
          <w:tcPr>
            <w:tcW w:w="0" w:type="auto"/>
          </w:tcPr>
          <w:p w14:paraId="1C12777D" w14:textId="49E81E46" w:rsidR="00B56899" w:rsidRPr="008E1C7E" w:rsidRDefault="007A717F" w:rsidP="00BC48F9">
            <w:pPr>
              <w:spacing w:line="360" w:lineRule="auto"/>
              <w:rPr>
                <w:rFonts w:ascii="Arial" w:hAnsi="Arial" w:cs="Arial"/>
                <w:sz w:val="20"/>
                <w:szCs w:val="20"/>
              </w:rPr>
            </w:pPr>
            <w:r>
              <w:rPr>
                <w:rFonts w:ascii="Arial" w:hAnsi="Arial" w:cs="Arial"/>
                <w:sz w:val="20"/>
                <w:szCs w:val="20"/>
              </w:rPr>
              <w:t>49.1 (82.4)</w:t>
            </w:r>
          </w:p>
        </w:tc>
        <w:tc>
          <w:tcPr>
            <w:tcW w:w="0" w:type="auto"/>
          </w:tcPr>
          <w:p w14:paraId="0B7EC89C" w14:textId="19062550" w:rsidR="00B56899" w:rsidRPr="008E1C7E" w:rsidRDefault="00C16900" w:rsidP="00BC48F9">
            <w:pPr>
              <w:spacing w:line="360" w:lineRule="auto"/>
              <w:rPr>
                <w:rFonts w:ascii="Arial" w:hAnsi="Arial" w:cs="Arial"/>
                <w:sz w:val="20"/>
                <w:szCs w:val="20"/>
              </w:rPr>
            </w:pPr>
            <w:r>
              <w:rPr>
                <w:rFonts w:ascii="Arial" w:hAnsi="Arial" w:cs="Arial"/>
                <w:sz w:val="20"/>
                <w:szCs w:val="20"/>
              </w:rPr>
              <w:t>1,147.9 (799.7)</w:t>
            </w:r>
          </w:p>
        </w:tc>
      </w:tr>
      <w:tr w:rsidR="00B56899" w:rsidRPr="008E1C7E" w14:paraId="6FD8D698" w14:textId="77777777" w:rsidTr="00BC48F9">
        <w:tc>
          <w:tcPr>
            <w:tcW w:w="0" w:type="auto"/>
          </w:tcPr>
          <w:p w14:paraId="2BD71E47"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Population Hispanic</w:t>
            </w:r>
          </w:p>
        </w:tc>
        <w:tc>
          <w:tcPr>
            <w:tcW w:w="0" w:type="auto"/>
          </w:tcPr>
          <w:p w14:paraId="76B1582A" w14:textId="0C7028E5" w:rsidR="00B56899" w:rsidRPr="008E1C7E" w:rsidRDefault="0039365E" w:rsidP="00BC48F9">
            <w:pPr>
              <w:spacing w:line="360" w:lineRule="auto"/>
              <w:rPr>
                <w:rFonts w:ascii="Arial" w:hAnsi="Arial" w:cs="Arial"/>
                <w:sz w:val="20"/>
                <w:szCs w:val="20"/>
              </w:rPr>
            </w:pPr>
            <w:r>
              <w:rPr>
                <w:rFonts w:ascii="Arial" w:hAnsi="Arial" w:cs="Arial"/>
                <w:sz w:val="20"/>
                <w:szCs w:val="20"/>
              </w:rPr>
              <w:t>75.4 (</w:t>
            </w:r>
            <w:proofErr w:type="gramStart"/>
            <w:r>
              <w:rPr>
                <w:rFonts w:ascii="Arial" w:hAnsi="Arial" w:cs="Arial"/>
                <w:sz w:val="20"/>
                <w:szCs w:val="20"/>
              </w:rPr>
              <w:t>29.2)*</w:t>
            </w:r>
            <w:proofErr w:type="gramEnd"/>
            <w:r>
              <w:rPr>
                <w:rFonts w:ascii="Arial" w:hAnsi="Arial" w:cs="Arial"/>
                <w:sz w:val="20"/>
                <w:szCs w:val="20"/>
              </w:rPr>
              <w:t>*</w:t>
            </w:r>
          </w:p>
        </w:tc>
        <w:tc>
          <w:tcPr>
            <w:tcW w:w="0" w:type="auto"/>
          </w:tcPr>
          <w:p w14:paraId="0C904350" w14:textId="2A6FAE18" w:rsidR="00B56899" w:rsidRPr="008E1C7E" w:rsidRDefault="00820387" w:rsidP="00BC48F9">
            <w:pPr>
              <w:spacing w:line="360" w:lineRule="auto"/>
              <w:rPr>
                <w:rFonts w:ascii="Arial" w:hAnsi="Arial" w:cs="Arial"/>
                <w:sz w:val="20"/>
                <w:szCs w:val="20"/>
              </w:rPr>
            </w:pPr>
            <w:r>
              <w:rPr>
                <w:rFonts w:ascii="Arial" w:hAnsi="Arial" w:cs="Arial"/>
                <w:sz w:val="20"/>
                <w:szCs w:val="20"/>
              </w:rPr>
              <w:t>-49.4 (</w:t>
            </w:r>
            <w:proofErr w:type="gramStart"/>
            <w:r>
              <w:rPr>
                <w:rFonts w:ascii="Arial" w:hAnsi="Arial" w:cs="Arial"/>
                <w:sz w:val="20"/>
                <w:szCs w:val="20"/>
              </w:rPr>
              <w:t>16.9)*</w:t>
            </w:r>
            <w:proofErr w:type="gramEnd"/>
            <w:r>
              <w:rPr>
                <w:rFonts w:ascii="Arial" w:hAnsi="Arial" w:cs="Arial"/>
                <w:sz w:val="20"/>
                <w:szCs w:val="20"/>
              </w:rPr>
              <w:t>*</w:t>
            </w:r>
          </w:p>
        </w:tc>
        <w:tc>
          <w:tcPr>
            <w:tcW w:w="0" w:type="auto"/>
          </w:tcPr>
          <w:p w14:paraId="157317E0" w14:textId="357CD2BD" w:rsidR="00B56899" w:rsidRPr="008E1C7E" w:rsidRDefault="00FD6F97" w:rsidP="00BC48F9">
            <w:pPr>
              <w:spacing w:line="360" w:lineRule="auto"/>
              <w:rPr>
                <w:rFonts w:ascii="Arial" w:hAnsi="Arial" w:cs="Arial"/>
                <w:sz w:val="20"/>
                <w:szCs w:val="20"/>
              </w:rPr>
            </w:pPr>
            <w:r>
              <w:rPr>
                <w:rFonts w:ascii="Arial" w:hAnsi="Arial" w:cs="Arial"/>
                <w:sz w:val="20"/>
                <w:szCs w:val="20"/>
              </w:rPr>
              <w:t>-6.2 (33.6)</w:t>
            </w:r>
          </w:p>
        </w:tc>
        <w:tc>
          <w:tcPr>
            <w:tcW w:w="0" w:type="auto"/>
          </w:tcPr>
          <w:p w14:paraId="7B67AE9C" w14:textId="136B8A98" w:rsidR="00B56899" w:rsidRPr="008E1C7E" w:rsidRDefault="00016259" w:rsidP="00BC48F9">
            <w:pPr>
              <w:spacing w:line="360" w:lineRule="auto"/>
              <w:rPr>
                <w:rFonts w:ascii="Arial" w:hAnsi="Arial" w:cs="Arial"/>
                <w:sz w:val="20"/>
                <w:szCs w:val="20"/>
              </w:rPr>
            </w:pPr>
            <w:r>
              <w:rPr>
                <w:rFonts w:ascii="Arial" w:hAnsi="Arial" w:cs="Arial"/>
                <w:sz w:val="20"/>
                <w:szCs w:val="20"/>
              </w:rPr>
              <w:t>-31.9 (</w:t>
            </w:r>
            <w:proofErr w:type="gramStart"/>
            <w:r>
              <w:rPr>
                <w:rFonts w:ascii="Arial" w:hAnsi="Arial" w:cs="Arial"/>
                <w:sz w:val="20"/>
                <w:szCs w:val="20"/>
              </w:rPr>
              <w:t>8.0)*</w:t>
            </w:r>
            <w:proofErr w:type="gramEnd"/>
            <w:r>
              <w:rPr>
                <w:rFonts w:ascii="Arial" w:hAnsi="Arial" w:cs="Arial"/>
                <w:sz w:val="20"/>
                <w:szCs w:val="20"/>
              </w:rPr>
              <w:t>*</w:t>
            </w:r>
          </w:p>
        </w:tc>
        <w:tc>
          <w:tcPr>
            <w:tcW w:w="0" w:type="auto"/>
          </w:tcPr>
          <w:p w14:paraId="53A28664" w14:textId="176E67E1" w:rsidR="00B56899" w:rsidRPr="008E1C7E" w:rsidRDefault="00E73FFF" w:rsidP="00BC48F9">
            <w:pPr>
              <w:spacing w:line="360" w:lineRule="auto"/>
              <w:rPr>
                <w:rFonts w:ascii="Arial" w:hAnsi="Arial" w:cs="Arial"/>
                <w:sz w:val="20"/>
                <w:szCs w:val="20"/>
              </w:rPr>
            </w:pPr>
            <w:r>
              <w:rPr>
                <w:rFonts w:ascii="Arial" w:hAnsi="Arial" w:cs="Arial"/>
                <w:sz w:val="20"/>
                <w:szCs w:val="20"/>
              </w:rPr>
              <w:t>-43.9 (10.1</w:t>
            </w:r>
            <w:proofErr w:type="gramStart"/>
            <w:r>
              <w:rPr>
                <w:rFonts w:ascii="Arial" w:hAnsi="Arial" w:cs="Arial"/>
                <w:sz w:val="20"/>
                <w:szCs w:val="20"/>
              </w:rPr>
              <w:t>))*</w:t>
            </w:r>
            <w:proofErr w:type="gramEnd"/>
            <w:r>
              <w:rPr>
                <w:rFonts w:ascii="Arial" w:hAnsi="Arial" w:cs="Arial"/>
                <w:sz w:val="20"/>
                <w:szCs w:val="20"/>
              </w:rPr>
              <w:t>*</w:t>
            </w:r>
          </w:p>
        </w:tc>
        <w:tc>
          <w:tcPr>
            <w:tcW w:w="0" w:type="auto"/>
          </w:tcPr>
          <w:p w14:paraId="1D0A7D93" w14:textId="2D2A0D69" w:rsidR="00B56899" w:rsidRPr="008E1C7E" w:rsidRDefault="004F54BF" w:rsidP="00BC48F9">
            <w:pPr>
              <w:spacing w:line="360" w:lineRule="auto"/>
              <w:rPr>
                <w:rFonts w:ascii="Arial" w:hAnsi="Arial" w:cs="Arial"/>
                <w:sz w:val="20"/>
                <w:szCs w:val="20"/>
              </w:rPr>
            </w:pPr>
            <w:r>
              <w:rPr>
                <w:rFonts w:ascii="Arial" w:hAnsi="Arial" w:cs="Arial"/>
                <w:sz w:val="20"/>
                <w:szCs w:val="20"/>
              </w:rPr>
              <w:t>-33.9 (</w:t>
            </w:r>
            <w:proofErr w:type="gramStart"/>
            <w:r>
              <w:rPr>
                <w:rFonts w:ascii="Arial" w:hAnsi="Arial" w:cs="Arial"/>
                <w:sz w:val="20"/>
                <w:szCs w:val="20"/>
              </w:rPr>
              <w:t>7.6)*</w:t>
            </w:r>
            <w:proofErr w:type="gramEnd"/>
            <w:r>
              <w:rPr>
                <w:rFonts w:ascii="Arial" w:hAnsi="Arial" w:cs="Arial"/>
                <w:sz w:val="20"/>
                <w:szCs w:val="20"/>
              </w:rPr>
              <w:t>*</w:t>
            </w:r>
          </w:p>
        </w:tc>
        <w:tc>
          <w:tcPr>
            <w:tcW w:w="0" w:type="auto"/>
          </w:tcPr>
          <w:p w14:paraId="368042AD" w14:textId="5EDC4B18" w:rsidR="00B56899" w:rsidRPr="008E1C7E" w:rsidRDefault="007A717F" w:rsidP="00BC48F9">
            <w:pPr>
              <w:spacing w:line="360" w:lineRule="auto"/>
              <w:rPr>
                <w:rFonts w:ascii="Arial" w:hAnsi="Arial" w:cs="Arial"/>
                <w:sz w:val="20"/>
                <w:szCs w:val="20"/>
              </w:rPr>
            </w:pPr>
            <w:r>
              <w:rPr>
                <w:rFonts w:ascii="Arial" w:hAnsi="Arial" w:cs="Arial"/>
                <w:sz w:val="20"/>
                <w:szCs w:val="20"/>
              </w:rPr>
              <w:t>114.4 (</w:t>
            </w:r>
            <w:proofErr w:type="gramStart"/>
            <w:r>
              <w:rPr>
                <w:rFonts w:ascii="Arial" w:hAnsi="Arial" w:cs="Arial"/>
                <w:sz w:val="20"/>
                <w:szCs w:val="20"/>
              </w:rPr>
              <w:t>54.9)*</w:t>
            </w:r>
            <w:proofErr w:type="gramEnd"/>
          </w:p>
        </w:tc>
        <w:tc>
          <w:tcPr>
            <w:tcW w:w="0" w:type="auto"/>
          </w:tcPr>
          <w:p w14:paraId="718AAB41" w14:textId="380B6ED9" w:rsidR="00B56899" w:rsidRPr="008E1C7E" w:rsidRDefault="00C16900" w:rsidP="00BC48F9">
            <w:pPr>
              <w:spacing w:line="360" w:lineRule="auto"/>
              <w:rPr>
                <w:rFonts w:ascii="Arial" w:hAnsi="Arial" w:cs="Arial"/>
                <w:sz w:val="20"/>
                <w:szCs w:val="20"/>
              </w:rPr>
            </w:pPr>
            <w:r>
              <w:rPr>
                <w:rFonts w:ascii="Arial" w:hAnsi="Arial" w:cs="Arial"/>
                <w:sz w:val="20"/>
                <w:szCs w:val="20"/>
              </w:rPr>
              <w:t>-331.5 (642.8)</w:t>
            </w:r>
          </w:p>
        </w:tc>
      </w:tr>
      <w:tr w:rsidR="00B56899" w:rsidRPr="008E1C7E" w14:paraId="470EF6C5" w14:textId="77777777" w:rsidTr="00BC48F9">
        <w:tc>
          <w:tcPr>
            <w:tcW w:w="0" w:type="auto"/>
          </w:tcPr>
          <w:p w14:paraId="6CAD7A54"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lastRenderedPageBreak/>
              <w:t>Unemployment rate</w:t>
            </w:r>
          </w:p>
        </w:tc>
        <w:tc>
          <w:tcPr>
            <w:tcW w:w="0" w:type="auto"/>
          </w:tcPr>
          <w:p w14:paraId="563AE51F" w14:textId="2DFA981C" w:rsidR="00B56899" w:rsidRPr="008E1C7E" w:rsidRDefault="00DB5FA7" w:rsidP="00BC48F9">
            <w:pPr>
              <w:spacing w:line="360" w:lineRule="auto"/>
              <w:rPr>
                <w:rFonts w:ascii="Arial" w:hAnsi="Arial" w:cs="Arial"/>
                <w:sz w:val="20"/>
                <w:szCs w:val="20"/>
              </w:rPr>
            </w:pPr>
            <w:r>
              <w:rPr>
                <w:rFonts w:ascii="Arial" w:hAnsi="Arial" w:cs="Arial"/>
                <w:sz w:val="20"/>
                <w:szCs w:val="20"/>
              </w:rPr>
              <w:t>-8.1 (</w:t>
            </w:r>
            <w:proofErr w:type="gramStart"/>
            <w:r>
              <w:rPr>
                <w:rFonts w:ascii="Arial" w:hAnsi="Arial" w:cs="Arial"/>
                <w:sz w:val="20"/>
                <w:szCs w:val="20"/>
              </w:rPr>
              <w:t>3.2)*</w:t>
            </w:r>
            <w:proofErr w:type="gramEnd"/>
          </w:p>
        </w:tc>
        <w:tc>
          <w:tcPr>
            <w:tcW w:w="0" w:type="auto"/>
          </w:tcPr>
          <w:p w14:paraId="2C74B2CD" w14:textId="18374E55" w:rsidR="00B56899" w:rsidRPr="008E1C7E" w:rsidRDefault="00820387" w:rsidP="00BC48F9">
            <w:pPr>
              <w:spacing w:line="360" w:lineRule="auto"/>
              <w:rPr>
                <w:rFonts w:ascii="Arial" w:hAnsi="Arial" w:cs="Arial"/>
                <w:sz w:val="20"/>
                <w:szCs w:val="20"/>
              </w:rPr>
            </w:pPr>
            <w:r>
              <w:rPr>
                <w:rFonts w:ascii="Arial" w:hAnsi="Arial" w:cs="Arial"/>
                <w:sz w:val="20"/>
                <w:szCs w:val="20"/>
              </w:rPr>
              <w:t>6.9 (</w:t>
            </w:r>
            <w:proofErr w:type="gramStart"/>
            <w:r>
              <w:rPr>
                <w:rFonts w:ascii="Arial" w:hAnsi="Arial" w:cs="Arial"/>
                <w:sz w:val="20"/>
                <w:szCs w:val="20"/>
              </w:rPr>
              <w:t>1.6)*</w:t>
            </w:r>
            <w:proofErr w:type="gramEnd"/>
            <w:r>
              <w:rPr>
                <w:rFonts w:ascii="Arial" w:hAnsi="Arial" w:cs="Arial"/>
                <w:sz w:val="20"/>
                <w:szCs w:val="20"/>
              </w:rPr>
              <w:t>*</w:t>
            </w:r>
          </w:p>
        </w:tc>
        <w:tc>
          <w:tcPr>
            <w:tcW w:w="0" w:type="auto"/>
          </w:tcPr>
          <w:p w14:paraId="13FC2277" w14:textId="07E6B5AF" w:rsidR="00B56899" w:rsidRPr="008E1C7E" w:rsidRDefault="00FD6F97" w:rsidP="00BC48F9">
            <w:pPr>
              <w:spacing w:line="360" w:lineRule="auto"/>
              <w:rPr>
                <w:rFonts w:ascii="Arial" w:hAnsi="Arial" w:cs="Arial"/>
                <w:sz w:val="20"/>
                <w:szCs w:val="20"/>
              </w:rPr>
            </w:pPr>
            <w:r>
              <w:rPr>
                <w:rFonts w:ascii="Arial" w:hAnsi="Arial" w:cs="Arial"/>
                <w:sz w:val="20"/>
                <w:szCs w:val="20"/>
              </w:rPr>
              <w:t>2.7 (3.6)</w:t>
            </w:r>
          </w:p>
        </w:tc>
        <w:tc>
          <w:tcPr>
            <w:tcW w:w="0" w:type="auto"/>
          </w:tcPr>
          <w:p w14:paraId="4AC2E75A" w14:textId="20238791" w:rsidR="00B56899" w:rsidRPr="008E1C7E" w:rsidRDefault="00016259" w:rsidP="00BC48F9">
            <w:pPr>
              <w:spacing w:line="360" w:lineRule="auto"/>
              <w:rPr>
                <w:rFonts w:ascii="Arial" w:hAnsi="Arial" w:cs="Arial"/>
                <w:sz w:val="20"/>
                <w:szCs w:val="20"/>
              </w:rPr>
            </w:pPr>
            <w:r>
              <w:rPr>
                <w:rFonts w:ascii="Arial" w:hAnsi="Arial" w:cs="Arial"/>
                <w:sz w:val="20"/>
                <w:szCs w:val="20"/>
              </w:rPr>
              <w:t>2.2 (</w:t>
            </w:r>
            <w:proofErr w:type="gramStart"/>
            <w:r>
              <w:rPr>
                <w:rFonts w:ascii="Arial" w:hAnsi="Arial" w:cs="Arial"/>
                <w:sz w:val="20"/>
                <w:szCs w:val="20"/>
              </w:rPr>
              <w:t>0.9)*</w:t>
            </w:r>
            <w:proofErr w:type="gramEnd"/>
            <w:r>
              <w:rPr>
                <w:rFonts w:ascii="Arial" w:hAnsi="Arial" w:cs="Arial"/>
                <w:sz w:val="20"/>
                <w:szCs w:val="20"/>
              </w:rPr>
              <w:t>*</w:t>
            </w:r>
          </w:p>
        </w:tc>
        <w:tc>
          <w:tcPr>
            <w:tcW w:w="0" w:type="auto"/>
          </w:tcPr>
          <w:p w14:paraId="32324369" w14:textId="145F16BB" w:rsidR="00B56899" w:rsidRPr="008E1C7E" w:rsidRDefault="00E73FFF" w:rsidP="00BC48F9">
            <w:pPr>
              <w:spacing w:line="360" w:lineRule="auto"/>
              <w:rPr>
                <w:rFonts w:ascii="Arial" w:hAnsi="Arial" w:cs="Arial"/>
                <w:sz w:val="20"/>
                <w:szCs w:val="20"/>
              </w:rPr>
            </w:pPr>
            <w:r>
              <w:rPr>
                <w:rFonts w:ascii="Arial" w:hAnsi="Arial" w:cs="Arial"/>
                <w:sz w:val="20"/>
                <w:szCs w:val="20"/>
              </w:rPr>
              <w:t>2.5 (</w:t>
            </w:r>
            <w:proofErr w:type="gramStart"/>
            <w:r>
              <w:rPr>
                <w:rFonts w:ascii="Arial" w:hAnsi="Arial" w:cs="Arial"/>
                <w:sz w:val="20"/>
                <w:szCs w:val="20"/>
              </w:rPr>
              <w:t>1.1)*</w:t>
            </w:r>
            <w:proofErr w:type="gramEnd"/>
          </w:p>
        </w:tc>
        <w:tc>
          <w:tcPr>
            <w:tcW w:w="0" w:type="auto"/>
          </w:tcPr>
          <w:p w14:paraId="4D50D335" w14:textId="4861D57D" w:rsidR="00B56899" w:rsidRPr="008E1C7E" w:rsidRDefault="004F54BF" w:rsidP="00BC48F9">
            <w:pPr>
              <w:spacing w:line="360" w:lineRule="auto"/>
              <w:rPr>
                <w:rFonts w:ascii="Arial" w:hAnsi="Arial" w:cs="Arial"/>
                <w:sz w:val="20"/>
                <w:szCs w:val="20"/>
              </w:rPr>
            </w:pPr>
            <w:r>
              <w:rPr>
                <w:rFonts w:ascii="Arial" w:hAnsi="Arial" w:cs="Arial"/>
                <w:sz w:val="20"/>
                <w:szCs w:val="20"/>
              </w:rPr>
              <w:t>2.9 (</w:t>
            </w:r>
            <w:proofErr w:type="gramStart"/>
            <w:r>
              <w:rPr>
                <w:rFonts w:ascii="Arial" w:hAnsi="Arial" w:cs="Arial"/>
                <w:sz w:val="20"/>
                <w:szCs w:val="20"/>
              </w:rPr>
              <w:t>0.8)*</w:t>
            </w:r>
            <w:proofErr w:type="gramEnd"/>
            <w:r>
              <w:rPr>
                <w:rFonts w:ascii="Arial" w:hAnsi="Arial" w:cs="Arial"/>
                <w:sz w:val="20"/>
                <w:szCs w:val="20"/>
              </w:rPr>
              <w:t>*</w:t>
            </w:r>
          </w:p>
        </w:tc>
        <w:tc>
          <w:tcPr>
            <w:tcW w:w="0" w:type="auto"/>
          </w:tcPr>
          <w:p w14:paraId="30C37DB5" w14:textId="02284E59" w:rsidR="00B56899" w:rsidRPr="008E1C7E" w:rsidRDefault="007A717F" w:rsidP="00BC48F9">
            <w:pPr>
              <w:spacing w:line="360" w:lineRule="auto"/>
              <w:rPr>
                <w:rFonts w:ascii="Arial" w:hAnsi="Arial" w:cs="Arial"/>
                <w:sz w:val="20"/>
                <w:szCs w:val="20"/>
              </w:rPr>
            </w:pPr>
            <w:r>
              <w:rPr>
                <w:rFonts w:ascii="Arial" w:hAnsi="Arial" w:cs="Arial"/>
                <w:sz w:val="20"/>
                <w:szCs w:val="20"/>
              </w:rPr>
              <w:t>-19.3 (</w:t>
            </w:r>
            <w:proofErr w:type="gramStart"/>
            <w:r>
              <w:rPr>
                <w:rFonts w:ascii="Arial" w:hAnsi="Arial" w:cs="Arial"/>
                <w:sz w:val="20"/>
                <w:szCs w:val="20"/>
              </w:rPr>
              <w:t>7.5)*</w:t>
            </w:r>
            <w:proofErr w:type="gramEnd"/>
          </w:p>
        </w:tc>
        <w:tc>
          <w:tcPr>
            <w:tcW w:w="0" w:type="auto"/>
          </w:tcPr>
          <w:p w14:paraId="56BA6058" w14:textId="2AEBAEA1" w:rsidR="00B56899" w:rsidRPr="008E1C7E" w:rsidRDefault="00C16900" w:rsidP="00BC48F9">
            <w:pPr>
              <w:spacing w:line="360" w:lineRule="auto"/>
              <w:rPr>
                <w:rFonts w:ascii="Arial" w:hAnsi="Arial" w:cs="Arial"/>
                <w:sz w:val="20"/>
                <w:szCs w:val="20"/>
              </w:rPr>
            </w:pPr>
            <w:r>
              <w:rPr>
                <w:rFonts w:ascii="Arial" w:hAnsi="Arial" w:cs="Arial"/>
                <w:sz w:val="20"/>
                <w:szCs w:val="20"/>
              </w:rPr>
              <w:t>9.7 (78.3)</w:t>
            </w:r>
          </w:p>
        </w:tc>
      </w:tr>
      <w:tr w:rsidR="00B56899" w:rsidRPr="008E1C7E" w14:paraId="5B611D12" w14:textId="77777777" w:rsidTr="00BC48F9">
        <w:tc>
          <w:tcPr>
            <w:tcW w:w="0" w:type="auto"/>
          </w:tcPr>
          <w:p w14:paraId="241DC580"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Hospital beds per 10,000 population</w:t>
            </w:r>
          </w:p>
        </w:tc>
        <w:tc>
          <w:tcPr>
            <w:tcW w:w="0" w:type="auto"/>
          </w:tcPr>
          <w:p w14:paraId="252E827D" w14:textId="4F9B7711" w:rsidR="00B56899" w:rsidRPr="008E1C7E" w:rsidRDefault="00DB5FA7" w:rsidP="00BC48F9">
            <w:pPr>
              <w:spacing w:line="360" w:lineRule="auto"/>
              <w:rPr>
                <w:rFonts w:ascii="Arial" w:hAnsi="Arial" w:cs="Arial"/>
                <w:sz w:val="20"/>
                <w:szCs w:val="20"/>
              </w:rPr>
            </w:pPr>
            <w:r>
              <w:rPr>
                <w:rFonts w:ascii="Arial" w:hAnsi="Arial" w:cs="Arial"/>
                <w:sz w:val="20"/>
                <w:szCs w:val="20"/>
              </w:rPr>
              <w:t>-9.0 (</w:t>
            </w:r>
            <w:proofErr w:type="gramStart"/>
            <w:r>
              <w:rPr>
                <w:rFonts w:ascii="Arial" w:hAnsi="Arial" w:cs="Arial"/>
                <w:sz w:val="20"/>
                <w:szCs w:val="20"/>
              </w:rPr>
              <w:t>2.9)*</w:t>
            </w:r>
            <w:proofErr w:type="gramEnd"/>
            <w:r>
              <w:rPr>
                <w:rFonts w:ascii="Arial" w:hAnsi="Arial" w:cs="Arial"/>
                <w:sz w:val="20"/>
                <w:szCs w:val="20"/>
              </w:rPr>
              <w:t>*</w:t>
            </w:r>
          </w:p>
        </w:tc>
        <w:tc>
          <w:tcPr>
            <w:tcW w:w="0" w:type="auto"/>
          </w:tcPr>
          <w:p w14:paraId="0450B7BA" w14:textId="54374D1A" w:rsidR="00B56899" w:rsidRPr="008E1C7E" w:rsidRDefault="00820387" w:rsidP="00BC48F9">
            <w:pPr>
              <w:spacing w:line="360" w:lineRule="auto"/>
              <w:rPr>
                <w:rFonts w:ascii="Arial" w:hAnsi="Arial" w:cs="Arial"/>
                <w:sz w:val="20"/>
                <w:szCs w:val="20"/>
              </w:rPr>
            </w:pPr>
            <w:r>
              <w:rPr>
                <w:rFonts w:ascii="Arial" w:hAnsi="Arial" w:cs="Arial"/>
                <w:sz w:val="20"/>
                <w:szCs w:val="20"/>
              </w:rPr>
              <w:t>2.4 (1.6)</w:t>
            </w:r>
          </w:p>
        </w:tc>
        <w:tc>
          <w:tcPr>
            <w:tcW w:w="0" w:type="auto"/>
          </w:tcPr>
          <w:p w14:paraId="27A50488" w14:textId="0A7B5898" w:rsidR="00B56899" w:rsidRPr="008E1C7E" w:rsidRDefault="00FD6F97" w:rsidP="00BC48F9">
            <w:pPr>
              <w:spacing w:line="360" w:lineRule="auto"/>
              <w:rPr>
                <w:rFonts w:ascii="Arial" w:hAnsi="Arial" w:cs="Arial"/>
                <w:sz w:val="20"/>
                <w:szCs w:val="20"/>
              </w:rPr>
            </w:pPr>
            <w:r>
              <w:rPr>
                <w:rFonts w:ascii="Arial" w:hAnsi="Arial" w:cs="Arial"/>
                <w:sz w:val="20"/>
                <w:szCs w:val="20"/>
              </w:rPr>
              <w:t>4.8 (3.1)</w:t>
            </w:r>
          </w:p>
        </w:tc>
        <w:tc>
          <w:tcPr>
            <w:tcW w:w="0" w:type="auto"/>
          </w:tcPr>
          <w:p w14:paraId="00ABA476" w14:textId="1FD88DAD" w:rsidR="00B56899" w:rsidRPr="008E1C7E" w:rsidRDefault="00016259" w:rsidP="00BC48F9">
            <w:pPr>
              <w:spacing w:line="360" w:lineRule="auto"/>
              <w:rPr>
                <w:rFonts w:ascii="Arial" w:hAnsi="Arial" w:cs="Arial"/>
                <w:sz w:val="20"/>
                <w:szCs w:val="20"/>
              </w:rPr>
            </w:pPr>
            <w:r>
              <w:rPr>
                <w:rFonts w:ascii="Arial" w:hAnsi="Arial" w:cs="Arial"/>
                <w:sz w:val="20"/>
                <w:szCs w:val="20"/>
              </w:rPr>
              <w:t>3.1 (</w:t>
            </w:r>
            <w:proofErr w:type="gramStart"/>
            <w:r>
              <w:rPr>
                <w:rFonts w:ascii="Arial" w:hAnsi="Arial" w:cs="Arial"/>
                <w:sz w:val="20"/>
                <w:szCs w:val="20"/>
              </w:rPr>
              <w:t>0.9)*</w:t>
            </w:r>
            <w:proofErr w:type="gramEnd"/>
            <w:r>
              <w:rPr>
                <w:rFonts w:ascii="Arial" w:hAnsi="Arial" w:cs="Arial"/>
                <w:sz w:val="20"/>
                <w:szCs w:val="20"/>
              </w:rPr>
              <w:t>*</w:t>
            </w:r>
          </w:p>
        </w:tc>
        <w:tc>
          <w:tcPr>
            <w:tcW w:w="0" w:type="auto"/>
          </w:tcPr>
          <w:p w14:paraId="53D0E82E" w14:textId="3B37A4B0" w:rsidR="00B56899" w:rsidRPr="008E1C7E" w:rsidRDefault="00E73FFF" w:rsidP="00BC48F9">
            <w:pPr>
              <w:spacing w:line="360" w:lineRule="auto"/>
              <w:rPr>
                <w:rFonts w:ascii="Arial" w:hAnsi="Arial" w:cs="Arial"/>
                <w:sz w:val="20"/>
                <w:szCs w:val="20"/>
              </w:rPr>
            </w:pPr>
            <w:r>
              <w:rPr>
                <w:rFonts w:ascii="Arial" w:hAnsi="Arial" w:cs="Arial"/>
                <w:sz w:val="20"/>
                <w:szCs w:val="20"/>
              </w:rPr>
              <w:t>2.2 (</w:t>
            </w:r>
            <w:proofErr w:type="gramStart"/>
            <w:r>
              <w:rPr>
                <w:rFonts w:ascii="Arial" w:hAnsi="Arial" w:cs="Arial"/>
                <w:sz w:val="20"/>
                <w:szCs w:val="20"/>
              </w:rPr>
              <w:t>1.0)*</w:t>
            </w:r>
            <w:proofErr w:type="gramEnd"/>
          </w:p>
        </w:tc>
        <w:tc>
          <w:tcPr>
            <w:tcW w:w="0" w:type="auto"/>
          </w:tcPr>
          <w:p w14:paraId="10681816" w14:textId="7E5546C4" w:rsidR="00B56899" w:rsidRPr="008E1C7E" w:rsidRDefault="004F54BF" w:rsidP="00BC48F9">
            <w:pPr>
              <w:spacing w:line="360" w:lineRule="auto"/>
              <w:rPr>
                <w:rFonts w:ascii="Arial" w:hAnsi="Arial" w:cs="Arial"/>
                <w:sz w:val="20"/>
                <w:szCs w:val="20"/>
              </w:rPr>
            </w:pPr>
            <w:r>
              <w:rPr>
                <w:rFonts w:ascii="Arial" w:hAnsi="Arial" w:cs="Arial"/>
                <w:sz w:val="20"/>
                <w:szCs w:val="20"/>
              </w:rPr>
              <w:t>1.2 (0.7)</w:t>
            </w:r>
          </w:p>
        </w:tc>
        <w:tc>
          <w:tcPr>
            <w:tcW w:w="0" w:type="auto"/>
          </w:tcPr>
          <w:p w14:paraId="0470CE1A" w14:textId="1E4210FC" w:rsidR="00B56899" w:rsidRPr="008E1C7E" w:rsidRDefault="007A717F" w:rsidP="00BC48F9">
            <w:pPr>
              <w:spacing w:line="360" w:lineRule="auto"/>
              <w:rPr>
                <w:rFonts w:ascii="Arial" w:hAnsi="Arial" w:cs="Arial"/>
                <w:sz w:val="20"/>
                <w:szCs w:val="20"/>
              </w:rPr>
            </w:pPr>
            <w:r>
              <w:rPr>
                <w:rFonts w:ascii="Arial" w:hAnsi="Arial" w:cs="Arial"/>
                <w:sz w:val="20"/>
                <w:szCs w:val="20"/>
              </w:rPr>
              <w:t>-9.0 (9.3)</w:t>
            </w:r>
          </w:p>
        </w:tc>
        <w:tc>
          <w:tcPr>
            <w:tcW w:w="0" w:type="auto"/>
          </w:tcPr>
          <w:p w14:paraId="769F6135" w14:textId="091A18FE" w:rsidR="00B56899" w:rsidRPr="008E1C7E" w:rsidRDefault="00C16900" w:rsidP="00BC48F9">
            <w:pPr>
              <w:spacing w:line="360" w:lineRule="auto"/>
              <w:rPr>
                <w:rFonts w:ascii="Arial" w:hAnsi="Arial" w:cs="Arial"/>
                <w:sz w:val="20"/>
                <w:szCs w:val="20"/>
              </w:rPr>
            </w:pPr>
            <w:r>
              <w:rPr>
                <w:rFonts w:ascii="Arial" w:hAnsi="Arial" w:cs="Arial"/>
                <w:sz w:val="20"/>
                <w:szCs w:val="20"/>
              </w:rPr>
              <w:t>17.8 (147.0)</w:t>
            </w:r>
          </w:p>
        </w:tc>
      </w:tr>
      <w:tr w:rsidR="00B56899" w:rsidRPr="008E1C7E" w14:paraId="6C638AF3" w14:textId="77777777" w:rsidTr="00BC48F9">
        <w:tc>
          <w:tcPr>
            <w:tcW w:w="0" w:type="auto"/>
          </w:tcPr>
          <w:p w14:paraId="37A52E41"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Medicare enrollment</w:t>
            </w:r>
          </w:p>
        </w:tc>
        <w:tc>
          <w:tcPr>
            <w:tcW w:w="0" w:type="auto"/>
          </w:tcPr>
          <w:p w14:paraId="56EC50F9" w14:textId="60590EB0" w:rsidR="00B56899" w:rsidRPr="008E1C7E" w:rsidRDefault="00DB5FA7" w:rsidP="00BC48F9">
            <w:pPr>
              <w:spacing w:line="360" w:lineRule="auto"/>
              <w:rPr>
                <w:rFonts w:ascii="Arial" w:hAnsi="Arial" w:cs="Arial"/>
                <w:sz w:val="20"/>
                <w:szCs w:val="20"/>
              </w:rPr>
            </w:pPr>
            <w:r>
              <w:rPr>
                <w:rFonts w:ascii="Arial" w:hAnsi="Arial" w:cs="Arial"/>
                <w:sz w:val="20"/>
                <w:szCs w:val="20"/>
              </w:rPr>
              <w:t>53.0 (</w:t>
            </w:r>
            <w:proofErr w:type="gramStart"/>
            <w:r>
              <w:rPr>
                <w:rFonts w:ascii="Arial" w:hAnsi="Arial" w:cs="Arial"/>
                <w:sz w:val="20"/>
                <w:szCs w:val="20"/>
              </w:rPr>
              <w:t>7.8)*</w:t>
            </w:r>
            <w:proofErr w:type="gramEnd"/>
            <w:r>
              <w:rPr>
                <w:rFonts w:ascii="Arial" w:hAnsi="Arial" w:cs="Arial"/>
                <w:sz w:val="20"/>
                <w:szCs w:val="20"/>
              </w:rPr>
              <w:t>*</w:t>
            </w:r>
          </w:p>
        </w:tc>
        <w:tc>
          <w:tcPr>
            <w:tcW w:w="0" w:type="auto"/>
          </w:tcPr>
          <w:p w14:paraId="42EB46BC" w14:textId="7ED8F10F" w:rsidR="00B56899" w:rsidRPr="008E1C7E" w:rsidRDefault="00820387" w:rsidP="00BC48F9">
            <w:pPr>
              <w:spacing w:line="360" w:lineRule="auto"/>
              <w:rPr>
                <w:rFonts w:ascii="Arial" w:hAnsi="Arial" w:cs="Arial"/>
                <w:sz w:val="20"/>
                <w:szCs w:val="20"/>
              </w:rPr>
            </w:pPr>
            <w:r>
              <w:rPr>
                <w:rFonts w:ascii="Arial" w:hAnsi="Arial" w:cs="Arial"/>
                <w:sz w:val="20"/>
                <w:szCs w:val="20"/>
              </w:rPr>
              <w:t>-14.3 (</w:t>
            </w:r>
            <w:proofErr w:type="gramStart"/>
            <w:r>
              <w:rPr>
                <w:rFonts w:ascii="Arial" w:hAnsi="Arial" w:cs="Arial"/>
                <w:sz w:val="20"/>
                <w:szCs w:val="20"/>
              </w:rPr>
              <w:t>4.2)*</w:t>
            </w:r>
            <w:proofErr w:type="gramEnd"/>
            <w:r>
              <w:rPr>
                <w:rFonts w:ascii="Arial" w:hAnsi="Arial" w:cs="Arial"/>
                <w:sz w:val="20"/>
                <w:szCs w:val="20"/>
              </w:rPr>
              <w:t>*</w:t>
            </w:r>
          </w:p>
        </w:tc>
        <w:tc>
          <w:tcPr>
            <w:tcW w:w="0" w:type="auto"/>
          </w:tcPr>
          <w:p w14:paraId="570571D0" w14:textId="0F972C2C" w:rsidR="00B56899" w:rsidRPr="008E1C7E" w:rsidRDefault="00FD6F97" w:rsidP="00BC48F9">
            <w:pPr>
              <w:spacing w:line="360" w:lineRule="auto"/>
              <w:rPr>
                <w:rFonts w:ascii="Arial" w:hAnsi="Arial" w:cs="Arial"/>
                <w:sz w:val="20"/>
                <w:szCs w:val="20"/>
              </w:rPr>
            </w:pPr>
            <w:r>
              <w:rPr>
                <w:rFonts w:ascii="Arial" w:hAnsi="Arial" w:cs="Arial"/>
                <w:sz w:val="20"/>
                <w:szCs w:val="20"/>
              </w:rPr>
              <w:t>-8.9 (8.0)</w:t>
            </w:r>
          </w:p>
        </w:tc>
        <w:tc>
          <w:tcPr>
            <w:tcW w:w="0" w:type="auto"/>
          </w:tcPr>
          <w:p w14:paraId="06EC1866" w14:textId="662C80A0" w:rsidR="00B56899" w:rsidRPr="008E1C7E" w:rsidRDefault="00016259" w:rsidP="00BC48F9">
            <w:pPr>
              <w:spacing w:line="360" w:lineRule="auto"/>
              <w:rPr>
                <w:rFonts w:ascii="Arial" w:hAnsi="Arial" w:cs="Arial"/>
                <w:sz w:val="20"/>
                <w:szCs w:val="20"/>
              </w:rPr>
            </w:pPr>
            <w:r>
              <w:rPr>
                <w:rFonts w:ascii="Arial" w:hAnsi="Arial" w:cs="Arial"/>
                <w:sz w:val="20"/>
                <w:szCs w:val="20"/>
              </w:rPr>
              <w:t>-6.8 (</w:t>
            </w:r>
            <w:proofErr w:type="gramStart"/>
            <w:r>
              <w:rPr>
                <w:rFonts w:ascii="Arial" w:hAnsi="Arial" w:cs="Arial"/>
                <w:sz w:val="20"/>
                <w:szCs w:val="20"/>
              </w:rPr>
              <w:t>1.8)*</w:t>
            </w:r>
            <w:proofErr w:type="gramEnd"/>
            <w:r>
              <w:rPr>
                <w:rFonts w:ascii="Arial" w:hAnsi="Arial" w:cs="Arial"/>
                <w:sz w:val="20"/>
                <w:szCs w:val="20"/>
              </w:rPr>
              <w:t>*</w:t>
            </w:r>
          </w:p>
        </w:tc>
        <w:tc>
          <w:tcPr>
            <w:tcW w:w="0" w:type="auto"/>
          </w:tcPr>
          <w:p w14:paraId="2A70C0BF" w14:textId="03916AE0" w:rsidR="00B56899" w:rsidRPr="008E1C7E" w:rsidRDefault="00E73FFF" w:rsidP="00BC48F9">
            <w:pPr>
              <w:spacing w:line="360" w:lineRule="auto"/>
              <w:rPr>
                <w:rFonts w:ascii="Arial" w:hAnsi="Arial" w:cs="Arial"/>
                <w:sz w:val="20"/>
                <w:szCs w:val="20"/>
              </w:rPr>
            </w:pPr>
            <w:r>
              <w:rPr>
                <w:rFonts w:ascii="Arial" w:hAnsi="Arial" w:cs="Arial"/>
                <w:sz w:val="20"/>
                <w:szCs w:val="20"/>
              </w:rPr>
              <w:t>-19.5 (</w:t>
            </w:r>
            <w:proofErr w:type="gramStart"/>
            <w:r>
              <w:rPr>
                <w:rFonts w:ascii="Arial" w:hAnsi="Arial" w:cs="Arial"/>
                <w:sz w:val="20"/>
                <w:szCs w:val="20"/>
              </w:rPr>
              <w:t>2.6)*</w:t>
            </w:r>
            <w:proofErr w:type="gramEnd"/>
            <w:r>
              <w:rPr>
                <w:rFonts w:ascii="Arial" w:hAnsi="Arial" w:cs="Arial"/>
                <w:sz w:val="20"/>
                <w:szCs w:val="20"/>
              </w:rPr>
              <w:t>*</w:t>
            </w:r>
          </w:p>
        </w:tc>
        <w:tc>
          <w:tcPr>
            <w:tcW w:w="0" w:type="auto"/>
          </w:tcPr>
          <w:p w14:paraId="429F2200" w14:textId="54A2ED41" w:rsidR="00B56899" w:rsidRPr="008E1C7E" w:rsidRDefault="004F54BF" w:rsidP="00BC48F9">
            <w:pPr>
              <w:spacing w:line="360" w:lineRule="auto"/>
              <w:rPr>
                <w:rFonts w:ascii="Arial" w:hAnsi="Arial" w:cs="Arial"/>
                <w:sz w:val="20"/>
                <w:szCs w:val="20"/>
              </w:rPr>
            </w:pPr>
            <w:r>
              <w:rPr>
                <w:rFonts w:ascii="Arial" w:hAnsi="Arial" w:cs="Arial"/>
                <w:sz w:val="20"/>
                <w:szCs w:val="20"/>
              </w:rPr>
              <w:t>1.8 (1.8)</w:t>
            </w:r>
          </w:p>
        </w:tc>
        <w:tc>
          <w:tcPr>
            <w:tcW w:w="0" w:type="auto"/>
          </w:tcPr>
          <w:p w14:paraId="6DE81FD5" w14:textId="58A8A990" w:rsidR="00B56899" w:rsidRPr="008E1C7E" w:rsidRDefault="007A717F" w:rsidP="00BC48F9">
            <w:pPr>
              <w:spacing w:line="360" w:lineRule="auto"/>
              <w:rPr>
                <w:rFonts w:ascii="Arial" w:hAnsi="Arial" w:cs="Arial"/>
                <w:sz w:val="20"/>
                <w:szCs w:val="20"/>
              </w:rPr>
            </w:pPr>
            <w:r>
              <w:rPr>
                <w:rFonts w:ascii="Arial" w:hAnsi="Arial" w:cs="Arial"/>
                <w:sz w:val="20"/>
                <w:szCs w:val="20"/>
              </w:rPr>
              <w:t>75.8 (</w:t>
            </w:r>
            <w:proofErr w:type="gramStart"/>
            <w:r>
              <w:rPr>
                <w:rFonts w:ascii="Arial" w:hAnsi="Arial" w:cs="Arial"/>
                <w:sz w:val="20"/>
                <w:szCs w:val="20"/>
              </w:rPr>
              <w:t>18.3)*</w:t>
            </w:r>
            <w:proofErr w:type="gramEnd"/>
            <w:r>
              <w:rPr>
                <w:rFonts w:ascii="Arial" w:hAnsi="Arial" w:cs="Arial"/>
                <w:sz w:val="20"/>
                <w:szCs w:val="20"/>
              </w:rPr>
              <w:t>*</w:t>
            </w:r>
          </w:p>
        </w:tc>
        <w:tc>
          <w:tcPr>
            <w:tcW w:w="0" w:type="auto"/>
          </w:tcPr>
          <w:p w14:paraId="7D1A134E" w14:textId="33A1A073" w:rsidR="00B56899" w:rsidRPr="008E1C7E" w:rsidRDefault="00C16900" w:rsidP="00BC48F9">
            <w:pPr>
              <w:spacing w:line="360" w:lineRule="auto"/>
              <w:rPr>
                <w:rFonts w:ascii="Arial" w:hAnsi="Arial" w:cs="Arial"/>
                <w:sz w:val="20"/>
                <w:szCs w:val="20"/>
              </w:rPr>
            </w:pPr>
            <w:r>
              <w:rPr>
                <w:rFonts w:ascii="Arial" w:hAnsi="Arial" w:cs="Arial"/>
                <w:sz w:val="20"/>
                <w:szCs w:val="20"/>
              </w:rPr>
              <w:t>135.3 (183.8)</w:t>
            </w:r>
          </w:p>
        </w:tc>
      </w:tr>
      <w:tr w:rsidR="00B56899" w:rsidRPr="008E1C7E" w14:paraId="7CCAB9AD" w14:textId="77777777" w:rsidTr="00BC48F9">
        <w:tc>
          <w:tcPr>
            <w:tcW w:w="0" w:type="auto"/>
          </w:tcPr>
          <w:p w14:paraId="41D6709B"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Per capita medical costs</w:t>
            </w:r>
          </w:p>
        </w:tc>
        <w:tc>
          <w:tcPr>
            <w:tcW w:w="0" w:type="auto"/>
          </w:tcPr>
          <w:p w14:paraId="5AAACC8A" w14:textId="0E6A3135" w:rsidR="00B56899" w:rsidRPr="008E1C7E" w:rsidRDefault="00DB5FA7" w:rsidP="00BC48F9">
            <w:pPr>
              <w:spacing w:line="360" w:lineRule="auto"/>
              <w:rPr>
                <w:rFonts w:ascii="Arial" w:hAnsi="Arial" w:cs="Arial"/>
                <w:sz w:val="20"/>
                <w:szCs w:val="20"/>
              </w:rPr>
            </w:pPr>
            <w:r>
              <w:rPr>
                <w:rFonts w:ascii="Arial" w:hAnsi="Arial" w:cs="Arial"/>
                <w:sz w:val="20"/>
                <w:szCs w:val="20"/>
              </w:rPr>
              <w:t>39 (3.0)</w:t>
            </w:r>
          </w:p>
        </w:tc>
        <w:tc>
          <w:tcPr>
            <w:tcW w:w="0" w:type="auto"/>
          </w:tcPr>
          <w:p w14:paraId="6575A8FD" w14:textId="3887F71F" w:rsidR="00B56899" w:rsidRPr="008E1C7E" w:rsidRDefault="00820387" w:rsidP="00BC48F9">
            <w:pPr>
              <w:spacing w:line="360" w:lineRule="auto"/>
              <w:rPr>
                <w:rFonts w:ascii="Arial" w:hAnsi="Arial" w:cs="Arial"/>
                <w:sz w:val="20"/>
                <w:szCs w:val="20"/>
              </w:rPr>
            </w:pPr>
            <w:r>
              <w:rPr>
                <w:rFonts w:ascii="Arial" w:hAnsi="Arial" w:cs="Arial"/>
                <w:sz w:val="20"/>
                <w:szCs w:val="20"/>
              </w:rPr>
              <w:t>-1.8 (1.9)</w:t>
            </w:r>
          </w:p>
        </w:tc>
        <w:tc>
          <w:tcPr>
            <w:tcW w:w="0" w:type="auto"/>
          </w:tcPr>
          <w:p w14:paraId="6DE0F076" w14:textId="0576D388" w:rsidR="00B56899" w:rsidRPr="008E1C7E" w:rsidRDefault="00FD6F97" w:rsidP="00BC48F9">
            <w:pPr>
              <w:spacing w:line="360" w:lineRule="auto"/>
              <w:rPr>
                <w:rFonts w:ascii="Arial" w:hAnsi="Arial" w:cs="Arial"/>
                <w:sz w:val="20"/>
                <w:szCs w:val="20"/>
              </w:rPr>
            </w:pPr>
            <w:r>
              <w:rPr>
                <w:rFonts w:ascii="Arial" w:hAnsi="Arial" w:cs="Arial"/>
                <w:sz w:val="20"/>
                <w:szCs w:val="20"/>
              </w:rPr>
              <w:t>-0.2 (3.9)</w:t>
            </w:r>
          </w:p>
        </w:tc>
        <w:tc>
          <w:tcPr>
            <w:tcW w:w="0" w:type="auto"/>
          </w:tcPr>
          <w:p w14:paraId="6975D70D" w14:textId="6AD84DED" w:rsidR="00B56899" w:rsidRPr="008E1C7E" w:rsidRDefault="00016259" w:rsidP="00BC48F9">
            <w:pPr>
              <w:spacing w:line="360" w:lineRule="auto"/>
              <w:rPr>
                <w:rFonts w:ascii="Arial" w:hAnsi="Arial" w:cs="Arial"/>
                <w:sz w:val="20"/>
                <w:szCs w:val="20"/>
              </w:rPr>
            </w:pPr>
            <w:r>
              <w:rPr>
                <w:rFonts w:ascii="Arial" w:hAnsi="Arial" w:cs="Arial"/>
                <w:sz w:val="20"/>
                <w:szCs w:val="20"/>
              </w:rPr>
              <w:t>-0.5 (0.9)</w:t>
            </w:r>
          </w:p>
        </w:tc>
        <w:tc>
          <w:tcPr>
            <w:tcW w:w="0" w:type="auto"/>
          </w:tcPr>
          <w:p w14:paraId="68C7F50C" w14:textId="46A76BCF" w:rsidR="00B56899" w:rsidRPr="008E1C7E" w:rsidRDefault="00E73FFF" w:rsidP="00BC48F9">
            <w:pPr>
              <w:spacing w:line="360" w:lineRule="auto"/>
              <w:rPr>
                <w:rFonts w:ascii="Arial" w:hAnsi="Arial" w:cs="Arial"/>
                <w:sz w:val="20"/>
                <w:szCs w:val="20"/>
              </w:rPr>
            </w:pPr>
            <w:r>
              <w:rPr>
                <w:rFonts w:ascii="Arial" w:hAnsi="Arial" w:cs="Arial"/>
                <w:sz w:val="20"/>
                <w:szCs w:val="20"/>
              </w:rPr>
              <w:t>0.3 (1.1)</w:t>
            </w:r>
          </w:p>
        </w:tc>
        <w:tc>
          <w:tcPr>
            <w:tcW w:w="0" w:type="auto"/>
          </w:tcPr>
          <w:p w14:paraId="5A10B9B4" w14:textId="63D9B132" w:rsidR="00B56899" w:rsidRPr="008E1C7E" w:rsidRDefault="004F54BF" w:rsidP="00BC48F9">
            <w:pPr>
              <w:spacing w:line="360" w:lineRule="auto"/>
              <w:rPr>
                <w:rFonts w:ascii="Arial" w:hAnsi="Arial" w:cs="Arial"/>
                <w:sz w:val="20"/>
                <w:szCs w:val="20"/>
              </w:rPr>
            </w:pPr>
            <w:r>
              <w:rPr>
                <w:rFonts w:ascii="Arial" w:hAnsi="Arial" w:cs="Arial"/>
                <w:sz w:val="20"/>
                <w:szCs w:val="20"/>
              </w:rPr>
              <w:t>-1.7 (</w:t>
            </w:r>
            <w:proofErr w:type="gramStart"/>
            <w:r>
              <w:rPr>
                <w:rFonts w:ascii="Arial" w:hAnsi="Arial" w:cs="Arial"/>
                <w:sz w:val="20"/>
                <w:szCs w:val="20"/>
              </w:rPr>
              <w:t>0.8)*</w:t>
            </w:r>
            <w:proofErr w:type="gramEnd"/>
          </w:p>
        </w:tc>
        <w:tc>
          <w:tcPr>
            <w:tcW w:w="0" w:type="auto"/>
          </w:tcPr>
          <w:p w14:paraId="4EB12141" w14:textId="4EED7532" w:rsidR="00B56899" w:rsidRPr="008E1C7E" w:rsidRDefault="007A717F" w:rsidP="00BC48F9">
            <w:pPr>
              <w:spacing w:line="360" w:lineRule="auto"/>
              <w:rPr>
                <w:rFonts w:ascii="Arial" w:hAnsi="Arial" w:cs="Arial"/>
                <w:sz w:val="20"/>
                <w:szCs w:val="20"/>
              </w:rPr>
            </w:pPr>
            <w:r>
              <w:rPr>
                <w:rFonts w:ascii="Arial" w:hAnsi="Arial" w:cs="Arial"/>
                <w:sz w:val="20"/>
                <w:szCs w:val="20"/>
              </w:rPr>
              <w:t>54.2 (</w:t>
            </w:r>
            <w:proofErr w:type="gramStart"/>
            <w:r>
              <w:rPr>
                <w:rFonts w:ascii="Arial" w:hAnsi="Arial" w:cs="Arial"/>
                <w:sz w:val="20"/>
                <w:szCs w:val="20"/>
              </w:rPr>
              <w:t>9.5)*</w:t>
            </w:r>
            <w:proofErr w:type="gramEnd"/>
            <w:r>
              <w:rPr>
                <w:rFonts w:ascii="Arial" w:hAnsi="Arial" w:cs="Arial"/>
                <w:sz w:val="20"/>
                <w:szCs w:val="20"/>
              </w:rPr>
              <w:t>*</w:t>
            </w:r>
          </w:p>
        </w:tc>
        <w:tc>
          <w:tcPr>
            <w:tcW w:w="0" w:type="auto"/>
          </w:tcPr>
          <w:p w14:paraId="7C55A5E8" w14:textId="447F48A0" w:rsidR="00B56899" w:rsidRPr="008E1C7E" w:rsidRDefault="00C16900" w:rsidP="00BC48F9">
            <w:pPr>
              <w:spacing w:line="360" w:lineRule="auto"/>
              <w:rPr>
                <w:rFonts w:ascii="Arial" w:hAnsi="Arial" w:cs="Arial"/>
                <w:sz w:val="20"/>
                <w:szCs w:val="20"/>
              </w:rPr>
            </w:pPr>
            <w:r>
              <w:rPr>
                <w:rFonts w:ascii="Arial" w:hAnsi="Arial" w:cs="Arial"/>
                <w:sz w:val="20"/>
                <w:szCs w:val="20"/>
              </w:rPr>
              <w:t>-179.1 (104.8)</w:t>
            </w:r>
          </w:p>
        </w:tc>
      </w:tr>
      <w:tr w:rsidR="00B56899" w:rsidRPr="008E1C7E" w14:paraId="15D4079E" w14:textId="77777777" w:rsidTr="00BC48F9">
        <w:tc>
          <w:tcPr>
            <w:tcW w:w="0" w:type="auto"/>
          </w:tcPr>
          <w:p w14:paraId="0842208E"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Adult tobacco smoking</w:t>
            </w:r>
          </w:p>
        </w:tc>
        <w:tc>
          <w:tcPr>
            <w:tcW w:w="0" w:type="auto"/>
          </w:tcPr>
          <w:p w14:paraId="6BE7A10E" w14:textId="00FAC281" w:rsidR="00B56899" w:rsidRPr="008E1C7E" w:rsidRDefault="00DB5FA7" w:rsidP="00BC48F9">
            <w:pPr>
              <w:spacing w:line="360" w:lineRule="auto"/>
              <w:rPr>
                <w:rFonts w:ascii="Arial" w:hAnsi="Arial" w:cs="Arial"/>
                <w:sz w:val="20"/>
                <w:szCs w:val="20"/>
              </w:rPr>
            </w:pPr>
            <w:r>
              <w:rPr>
                <w:rFonts w:ascii="Arial" w:hAnsi="Arial" w:cs="Arial"/>
                <w:sz w:val="20"/>
                <w:szCs w:val="20"/>
              </w:rPr>
              <w:t>-15.7 (</w:t>
            </w:r>
            <w:proofErr w:type="gramStart"/>
            <w:r>
              <w:rPr>
                <w:rFonts w:ascii="Arial" w:hAnsi="Arial" w:cs="Arial"/>
                <w:sz w:val="20"/>
                <w:szCs w:val="20"/>
              </w:rPr>
              <w:t>2.1)*</w:t>
            </w:r>
            <w:proofErr w:type="gramEnd"/>
            <w:r>
              <w:rPr>
                <w:rFonts w:ascii="Arial" w:hAnsi="Arial" w:cs="Arial"/>
                <w:sz w:val="20"/>
                <w:szCs w:val="20"/>
              </w:rPr>
              <w:t>*</w:t>
            </w:r>
          </w:p>
        </w:tc>
        <w:tc>
          <w:tcPr>
            <w:tcW w:w="0" w:type="auto"/>
          </w:tcPr>
          <w:p w14:paraId="301A7C24" w14:textId="0EA5732F" w:rsidR="00B56899" w:rsidRPr="008E1C7E" w:rsidRDefault="00820387" w:rsidP="00BC48F9">
            <w:pPr>
              <w:spacing w:line="360" w:lineRule="auto"/>
              <w:rPr>
                <w:rFonts w:ascii="Arial" w:hAnsi="Arial" w:cs="Arial"/>
                <w:sz w:val="20"/>
                <w:szCs w:val="20"/>
              </w:rPr>
            </w:pPr>
            <w:r>
              <w:rPr>
                <w:rFonts w:ascii="Arial" w:hAnsi="Arial" w:cs="Arial"/>
                <w:sz w:val="20"/>
                <w:szCs w:val="20"/>
              </w:rPr>
              <w:t>5.7 (</w:t>
            </w:r>
            <w:proofErr w:type="gramStart"/>
            <w:r>
              <w:rPr>
                <w:rFonts w:ascii="Arial" w:hAnsi="Arial" w:cs="Arial"/>
                <w:sz w:val="20"/>
                <w:szCs w:val="20"/>
              </w:rPr>
              <w:t>1.2)*</w:t>
            </w:r>
            <w:proofErr w:type="gramEnd"/>
            <w:r>
              <w:rPr>
                <w:rFonts w:ascii="Arial" w:hAnsi="Arial" w:cs="Arial"/>
                <w:sz w:val="20"/>
                <w:szCs w:val="20"/>
              </w:rPr>
              <w:t>*</w:t>
            </w:r>
          </w:p>
        </w:tc>
        <w:tc>
          <w:tcPr>
            <w:tcW w:w="0" w:type="auto"/>
          </w:tcPr>
          <w:p w14:paraId="031933D8" w14:textId="72A87DEA" w:rsidR="00B56899" w:rsidRPr="008E1C7E" w:rsidRDefault="00FD6F97" w:rsidP="00BC48F9">
            <w:pPr>
              <w:spacing w:line="360" w:lineRule="auto"/>
              <w:rPr>
                <w:rFonts w:ascii="Arial" w:hAnsi="Arial" w:cs="Arial"/>
                <w:sz w:val="20"/>
                <w:szCs w:val="20"/>
              </w:rPr>
            </w:pPr>
            <w:r>
              <w:rPr>
                <w:rFonts w:ascii="Arial" w:hAnsi="Arial" w:cs="Arial"/>
                <w:sz w:val="20"/>
                <w:szCs w:val="20"/>
              </w:rPr>
              <w:t>4.3 (2.5)</w:t>
            </w:r>
          </w:p>
        </w:tc>
        <w:tc>
          <w:tcPr>
            <w:tcW w:w="0" w:type="auto"/>
          </w:tcPr>
          <w:p w14:paraId="78E692DF" w14:textId="5BA1BC4B" w:rsidR="00B56899" w:rsidRPr="008E1C7E" w:rsidRDefault="00016259" w:rsidP="00BC48F9">
            <w:pPr>
              <w:spacing w:line="360" w:lineRule="auto"/>
              <w:rPr>
                <w:rFonts w:ascii="Arial" w:hAnsi="Arial" w:cs="Arial"/>
                <w:sz w:val="20"/>
                <w:szCs w:val="20"/>
              </w:rPr>
            </w:pPr>
            <w:r>
              <w:rPr>
                <w:rFonts w:ascii="Arial" w:hAnsi="Arial" w:cs="Arial"/>
                <w:sz w:val="20"/>
                <w:szCs w:val="20"/>
              </w:rPr>
              <w:t>1.1 (</w:t>
            </w:r>
            <w:proofErr w:type="gramStart"/>
            <w:r>
              <w:rPr>
                <w:rFonts w:ascii="Arial" w:hAnsi="Arial" w:cs="Arial"/>
                <w:sz w:val="20"/>
                <w:szCs w:val="20"/>
              </w:rPr>
              <w:t>0.6)*</w:t>
            </w:r>
            <w:proofErr w:type="gramEnd"/>
          </w:p>
        </w:tc>
        <w:tc>
          <w:tcPr>
            <w:tcW w:w="0" w:type="auto"/>
          </w:tcPr>
          <w:p w14:paraId="409D7810" w14:textId="46AE0A04" w:rsidR="00B56899" w:rsidRPr="008E1C7E" w:rsidRDefault="00E73FFF" w:rsidP="00BC48F9">
            <w:pPr>
              <w:spacing w:line="360" w:lineRule="auto"/>
              <w:rPr>
                <w:rFonts w:ascii="Arial" w:hAnsi="Arial" w:cs="Arial"/>
                <w:sz w:val="20"/>
                <w:szCs w:val="20"/>
              </w:rPr>
            </w:pPr>
            <w:r>
              <w:rPr>
                <w:rFonts w:ascii="Arial" w:hAnsi="Arial" w:cs="Arial"/>
                <w:sz w:val="20"/>
                <w:szCs w:val="20"/>
              </w:rPr>
              <w:t>5.0 (</w:t>
            </w:r>
            <w:proofErr w:type="gramStart"/>
            <w:r>
              <w:rPr>
                <w:rFonts w:ascii="Arial" w:hAnsi="Arial" w:cs="Arial"/>
                <w:sz w:val="20"/>
                <w:szCs w:val="20"/>
              </w:rPr>
              <w:t>0.7)*</w:t>
            </w:r>
            <w:proofErr w:type="gramEnd"/>
            <w:r>
              <w:rPr>
                <w:rFonts w:ascii="Arial" w:hAnsi="Arial" w:cs="Arial"/>
                <w:sz w:val="20"/>
                <w:szCs w:val="20"/>
              </w:rPr>
              <w:t>*</w:t>
            </w:r>
          </w:p>
        </w:tc>
        <w:tc>
          <w:tcPr>
            <w:tcW w:w="0" w:type="auto"/>
          </w:tcPr>
          <w:p w14:paraId="7413E2BD" w14:textId="047A2F90" w:rsidR="00B56899" w:rsidRPr="008E1C7E" w:rsidRDefault="004F54BF" w:rsidP="00BC48F9">
            <w:pPr>
              <w:spacing w:line="360" w:lineRule="auto"/>
              <w:rPr>
                <w:rFonts w:ascii="Arial" w:hAnsi="Arial" w:cs="Arial"/>
                <w:sz w:val="20"/>
                <w:szCs w:val="20"/>
              </w:rPr>
            </w:pPr>
            <w:r>
              <w:rPr>
                <w:rFonts w:ascii="Arial" w:hAnsi="Arial" w:cs="Arial"/>
                <w:sz w:val="20"/>
                <w:szCs w:val="20"/>
              </w:rPr>
              <w:t>6.5 (</w:t>
            </w:r>
            <w:proofErr w:type="gramStart"/>
            <w:r>
              <w:rPr>
                <w:rFonts w:ascii="Arial" w:hAnsi="Arial" w:cs="Arial"/>
                <w:sz w:val="20"/>
                <w:szCs w:val="20"/>
              </w:rPr>
              <w:t>0.6)*</w:t>
            </w:r>
            <w:proofErr w:type="gramEnd"/>
            <w:r>
              <w:rPr>
                <w:rFonts w:ascii="Arial" w:hAnsi="Arial" w:cs="Arial"/>
                <w:sz w:val="20"/>
                <w:szCs w:val="20"/>
              </w:rPr>
              <w:t>*</w:t>
            </w:r>
          </w:p>
        </w:tc>
        <w:tc>
          <w:tcPr>
            <w:tcW w:w="0" w:type="auto"/>
          </w:tcPr>
          <w:p w14:paraId="39EE6033" w14:textId="6E09D90C" w:rsidR="00B56899" w:rsidRPr="008E1C7E" w:rsidRDefault="007A717F" w:rsidP="00BC48F9">
            <w:pPr>
              <w:spacing w:line="360" w:lineRule="auto"/>
              <w:rPr>
                <w:rFonts w:ascii="Arial" w:hAnsi="Arial" w:cs="Arial"/>
                <w:sz w:val="20"/>
                <w:szCs w:val="20"/>
              </w:rPr>
            </w:pPr>
            <w:r>
              <w:rPr>
                <w:rFonts w:ascii="Arial" w:hAnsi="Arial" w:cs="Arial"/>
                <w:sz w:val="20"/>
                <w:szCs w:val="20"/>
              </w:rPr>
              <w:t>-9.6 (5.7)</w:t>
            </w:r>
          </w:p>
        </w:tc>
        <w:tc>
          <w:tcPr>
            <w:tcW w:w="0" w:type="auto"/>
          </w:tcPr>
          <w:p w14:paraId="08ED61F7" w14:textId="0C932DE0" w:rsidR="00B56899" w:rsidRPr="008E1C7E" w:rsidRDefault="00C16900" w:rsidP="00BC48F9">
            <w:pPr>
              <w:spacing w:line="360" w:lineRule="auto"/>
              <w:rPr>
                <w:rFonts w:ascii="Arial" w:hAnsi="Arial" w:cs="Arial"/>
                <w:sz w:val="20"/>
                <w:szCs w:val="20"/>
              </w:rPr>
            </w:pPr>
            <w:r>
              <w:rPr>
                <w:rFonts w:ascii="Arial" w:hAnsi="Arial" w:cs="Arial"/>
                <w:sz w:val="20"/>
                <w:szCs w:val="20"/>
              </w:rPr>
              <w:t>40.1 (54.0)</w:t>
            </w:r>
          </w:p>
        </w:tc>
      </w:tr>
      <w:tr w:rsidR="00B56899" w:rsidRPr="008E1C7E" w14:paraId="6F1A424E" w14:textId="77777777" w:rsidTr="00BC48F9">
        <w:tc>
          <w:tcPr>
            <w:tcW w:w="0" w:type="auto"/>
          </w:tcPr>
          <w:p w14:paraId="0234E56F"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Adult obesity</w:t>
            </w:r>
          </w:p>
        </w:tc>
        <w:tc>
          <w:tcPr>
            <w:tcW w:w="0" w:type="auto"/>
          </w:tcPr>
          <w:p w14:paraId="42528D2B" w14:textId="53A00714" w:rsidR="00B56899" w:rsidRPr="008E1C7E" w:rsidRDefault="00DB5FA7" w:rsidP="00BC48F9">
            <w:pPr>
              <w:spacing w:line="360" w:lineRule="auto"/>
              <w:rPr>
                <w:rFonts w:ascii="Arial" w:hAnsi="Arial" w:cs="Arial"/>
                <w:sz w:val="20"/>
                <w:szCs w:val="20"/>
              </w:rPr>
            </w:pPr>
            <w:r>
              <w:rPr>
                <w:rFonts w:ascii="Arial" w:hAnsi="Arial" w:cs="Arial"/>
                <w:sz w:val="20"/>
                <w:szCs w:val="20"/>
              </w:rPr>
              <w:t>-19.0 (</w:t>
            </w:r>
            <w:proofErr w:type="gramStart"/>
            <w:r>
              <w:rPr>
                <w:rFonts w:ascii="Arial" w:hAnsi="Arial" w:cs="Arial"/>
                <w:sz w:val="20"/>
                <w:szCs w:val="20"/>
              </w:rPr>
              <w:t>3.5)*</w:t>
            </w:r>
            <w:proofErr w:type="gramEnd"/>
            <w:r>
              <w:rPr>
                <w:rFonts w:ascii="Arial" w:hAnsi="Arial" w:cs="Arial"/>
                <w:sz w:val="20"/>
                <w:szCs w:val="20"/>
              </w:rPr>
              <w:t>*</w:t>
            </w:r>
          </w:p>
        </w:tc>
        <w:tc>
          <w:tcPr>
            <w:tcW w:w="0" w:type="auto"/>
          </w:tcPr>
          <w:p w14:paraId="73FE8D27" w14:textId="6C2A648C" w:rsidR="00B56899" w:rsidRPr="008E1C7E" w:rsidRDefault="00820387" w:rsidP="00BC48F9">
            <w:pPr>
              <w:spacing w:line="360" w:lineRule="auto"/>
              <w:rPr>
                <w:rFonts w:ascii="Arial" w:hAnsi="Arial" w:cs="Arial"/>
                <w:sz w:val="20"/>
                <w:szCs w:val="20"/>
              </w:rPr>
            </w:pPr>
            <w:r>
              <w:rPr>
                <w:rFonts w:ascii="Arial" w:hAnsi="Arial" w:cs="Arial"/>
                <w:sz w:val="20"/>
                <w:szCs w:val="20"/>
              </w:rPr>
              <w:t>7.7 (</w:t>
            </w:r>
            <w:proofErr w:type="gramStart"/>
            <w:r>
              <w:rPr>
                <w:rFonts w:ascii="Arial" w:hAnsi="Arial" w:cs="Arial"/>
                <w:sz w:val="20"/>
                <w:szCs w:val="20"/>
              </w:rPr>
              <w:t>2.1)*</w:t>
            </w:r>
            <w:proofErr w:type="gramEnd"/>
            <w:r>
              <w:rPr>
                <w:rFonts w:ascii="Arial" w:hAnsi="Arial" w:cs="Arial"/>
                <w:sz w:val="20"/>
                <w:szCs w:val="20"/>
              </w:rPr>
              <w:t>*</w:t>
            </w:r>
          </w:p>
        </w:tc>
        <w:tc>
          <w:tcPr>
            <w:tcW w:w="0" w:type="auto"/>
          </w:tcPr>
          <w:p w14:paraId="0779FC8B" w14:textId="5F5916ED" w:rsidR="00B56899" w:rsidRPr="008E1C7E" w:rsidRDefault="00FD6F97" w:rsidP="00BC48F9">
            <w:pPr>
              <w:spacing w:line="360" w:lineRule="auto"/>
              <w:rPr>
                <w:rFonts w:ascii="Arial" w:hAnsi="Arial" w:cs="Arial"/>
                <w:sz w:val="20"/>
                <w:szCs w:val="20"/>
              </w:rPr>
            </w:pPr>
            <w:r>
              <w:rPr>
                <w:rFonts w:ascii="Arial" w:hAnsi="Arial" w:cs="Arial"/>
                <w:sz w:val="20"/>
                <w:szCs w:val="20"/>
              </w:rPr>
              <w:t>12.6 (</w:t>
            </w:r>
            <w:proofErr w:type="gramStart"/>
            <w:r>
              <w:rPr>
                <w:rFonts w:ascii="Arial" w:hAnsi="Arial" w:cs="Arial"/>
                <w:sz w:val="20"/>
                <w:szCs w:val="20"/>
              </w:rPr>
              <w:t>3.8)*</w:t>
            </w:r>
            <w:proofErr w:type="gramEnd"/>
            <w:r>
              <w:rPr>
                <w:rFonts w:ascii="Arial" w:hAnsi="Arial" w:cs="Arial"/>
                <w:sz w:val="20"/>
                <w:szCs w:val="20"/>
              </w:rPr>
              <w:t>*</w:t>
            </w:r>
          </w:p>
        </w:tc>
        <w:tc>
          <w:tcPr>
            <w:tcW w:w="0" w:type="auto"/>
          </w:tcPr>
          <w:p w14:paraId="6DDA1F35" w14:textId="5673338C" w:rsidR="00B56899" w:rsidRPr="008E1C7E" w:rsidRDefault="00016259" w:rsidP="00BC48F9">
            <w:pPr>
              <w:spacing w:line="360" w:lineRule="auto"/>
              <w:rPr>
                <w:rFonts w:ascii="Arial" w:hAnsi="Arial" w:cs="Arial"/>
                <w:sz w:val="20"/>
                <w:szCs w:val="20"/>
              </w:rPr>
            </w:pPr>
            <w:r>
              <w:rPr>
                <w:rFonts w:ascii="Arial" w:hAnsi="Arial" w:cs="Arial"/>
                <w:sz w:val="20"/>
                <w:szCs w:val="20"/>
              </w:rPr>
              <w:t>2.7 (</w:t>
            </w:r>
            <w:proofErr w:type="gramStart"/>
            <w:r>
              <w:rPr>
                <w:rFonts w:ascii="Arial" w:hAnsi="Arial" w:cs="Arial"/>
                <w:sz w:val="20"/>
                <w:szCs w:val="20"/>
              </w:rPr>
              <w:t>0.9)*</w:t>
            </w:r>
            <w:proofErr w:type="gramEnd"/>
            <w:r>
              <w:rPr>
                <w:rFonts w:ascii="Arial" w:hAnsi="Arial" w:cs="Arial"/>
                <w:sz w:val="20"/>
                <w:szCs w:val="20"/>
              </w:rPr>
              <w:t>*</w:t>
            </w:r>
          </w:p>
        </w:tc>
        <w:tc>
          <w:tcPr>
            <w:tcW w:w="0" w:type="auto"/>
          </w:tcPr>
          <w:p w14:paraId="63EC35BA" w14:textId="26C49131" w:rsidR="00B56899" w:rsidRPr="008E1C7E" w:rsidRDefault="00E73FFF" w:rsidP="00BC48F9">
            <w:pPr>
              <w:spacing w:line="360" w:lineRule="auto"/>
              <w:rPr>
                <w:rFonts w:ascii="Arial" w:hAnsi="Arial" w:cs="Arial"/>
                <w:sz w:val="20"/>
                <w:szCs w:val="20"/>
              </w:rPr>
            </w:pPr>
            <w:r>
              <w:rPr>
                <w:rFonts w:ascii="Arial" w:hAnsi="Arial" w:cs="Arial"/>
                <w:sz w:val="20"/>
                <w:szCs w:val="20"/>
              </w:rPr>
              <w:t>6.1 (</w:t>
            </w:r>
            <w:proofErr w:type="gramStart"/>
            <w:r>
              <w:rPr>
                <w:rFonts w:ascii="Arial" w:hAnsi="Arial" w:cs="Arial"/>
                <w:sz w:val="20"/>
                <w:szCs w:val="20"/>
              </w:rPr>
              <w:t>1.2)*</w:t>
            </w:r>
            <w:proofErr w:type="gramEnd"/>
            <w:r>
              <w:rPr>
                <w:rFonts w:ascii="Arial" w:hAnsi="Arial" w:cs="Arial"/>
                <w:sz w:val="20"/>
                <w:szCs w:val="20"/>
              </w:rPr>
              <w:t>*</w:t>
            </w:r>
          </w:p>
        </w:tc>
        <w:tc>
          <w:tcPr>
            <w:tcW w:w="0" w:type="auto"/>
          </w:tcPr>
          <w:p w14:paraId="77D61BF9" w14:textId="0FB50605" w:rsidR="00B56899" w:rsidRPr="008E1C7E" w:rsidRDefault="004F54BF" w:rsidP="00BC48F9">
            <w:pPr>
              <w:spacing w:line="360" w:lineRule="auto"/>
              <w:rPr>
                <w:rFonts w:ascii="Arial" w:hAnsi="Arial" w:cs="Arial"/>
                <w:sz w:val="20"/>
                <w:szCs w:val="20"/>
              </w:rPr>
            </w:pPr>
            <w:r>
              <w:rPr>
                <w:rFonts w:ascii="Arial" w:hAnsi="Arial" w:cs="Arial"/>
                <w:sz w:val="20"/>
                <w:szCs w:val="20"/>
              </w:rPr>
              <w:t>0.9 (0.9)</w:t>
            </w:r>
          </w:p>
        </w:tc>
        <w:tc>
          <w:tcPr>
            <w:tcW w:w="0" w:type="auto"/>
          </w:tcPr>
          <w:p w14:paraId="6BFC25E0" w14:textId="1A615CB4" w:rsidR="00B56899" w:rsidRPr="008E1C7E" w:rsidRDefault="007A717F" w:rsidP="00BC48F9">
            <w:pPr>
              <w:spacing w:line="360" w:lineRule="auto"/>
              <w:rPr>
                <w:rFonts w:ascii="Arial" w:hAnsi="Arial" w:cs="Arial"/>
                <w:sz w:val="20"/>
                <w:szCs w:val="20"/>
              </w:rPr>
            </w:pPr>
            <w:r>
              <w:rPr>
                <w:rFonts w:ascii="Arial" w:hAnsi="Arial" w:cs="Arial"/>
                <w:sz w:val="20"/>
                <w:szCs w:val="20"/>
              </w:rPr>
              <w:t>-18.1 (</w:t>
            </w:r>
            <w:proofErr w:type="gramStart"/>
            <w:r>
              <w:rPr>
                <w:rFonts w:ascii="Arial" w:hAnsi="Arial" w:cs="Arial"/>
                <w:sz w:val="20"/>
                <w:szCs w:val="20"/>
              </w:rPr>
              <w:t>7.9)*</w:t>
            </w:r>
            <w:proofErr w:type="gramEnd"/>
          </w:p>
        </w:tc>
        <w:tc>
          <w:tcPr>
            <w:tcW w:w="0" w:type="auto"/>
          </w:tcPr>
          <w:p w14:paraId="4345FD7B" w14:textId="654AD1F5" w:rsidR="00B56899" w:rsidRPr="008E1C7E" w:rsidRDefault="00C16900" w:rsidP="00BC48F9">
            <w:pPr>
              <w:spacing w:line="360" w:lineRule="auto"/>
              <w:rPr>
                <w:rFonts w:ascii="Arial" w:hAnsi="Arial" w:cs="Arial"/>
                <w:sz w:val="20"/>
                <w:szCs w:val="20"/>
              </w:rPr>
            </w:pPr>
            <w:r>
              <w:rPr>
                <w:rFonts w:ascii="Arial" w:hAnsi="Arial" w:cs="Arial"/>
                <w:sz w:val="20"/>
                <w:szCs w:val="20"/>
              </w:rPr>
              <w:t>-78.1 (75.2)</w:t>
            </w:r>
          </w:p>
        </w:tc>
      </w:tr>
      <w:tr w:rsidR="00B56899" w:rsidRPr="008E1C7E" w14:paraId="277486BF" w14:textId="77777777" w:rsidTr="00BC48F9">
        <w:tc>
          <w:tcPr>
            <w:tcW w:w="0" w:type="auto"/>
          </w:tcPr>
          <w:p w14:paraId="5D6E9662"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High ozone days</w:t>
            </w:r>
          </w:p>
        </w:tc>
        <w:tc>
          <w:tcPr>
            <w:tcW w:w="0" w:type="auto"/>
          </w:tcPr>
          <w:p w14:paraId="768C04BD" w14:textId="3041382D" w:rsidR="00B56899" w:rsidRPr="008E1C7E" w:rsidRDefault="00DB5FA7" w:rsidP="00BC48F9">
            <w:pPr>
              <w:spacing w:line="360" w:lineRule="auto"/>
              <w:rPr>
                <w:rFonts w:ascii="Arial" w:hAnsi="Arial" w:cs="Arial"/>
                <w:sz w:val="20"/>
                <w:szCs w:val="20"/>
              </w:rPr>
            </w:pPr>
            <w:r>
              <w:rPr>
                <w:rFonts w:ascii="Arial" w:hAnsi="Arial" w:cs="Arial"/>
                <w:sz w:val="20"/>
                <w:szCs w:val="20"/>
              </w:rPr>
              <w:t>11.1 (</w:t>
            </w:r>
            <w:proofErr w:type="gramStart"/>
            <w:r>
              <w:rPr>
                <w:rFonts w:ascii="Arial" w:hAnsi="Arial" w:cs="Arial"/>
                <w:sz w:val="20"/>
                <w:szCs w:val="20"/>
              </w:rPr>
              <w:t>3.8)*</w:t>
            </w:r>
            <w:proofErr w:type="gramEnd"/>
            <w:r>
              <w:rPr>
                <w:rFonts w:ascii="Arial" w:hAnsi="Arial" w:cs="Arial"/>
                <w:sz w:val="20"/>
                <w:szCs w:val="20"/>
              </w:rPr>
              <w:t>*</w:t>
            </w:r>
          </w:p>
        </w:tc>
        <w:tc>
          <w:tcPr>
            <w:tcW w:w="0" w:type="auto"/>
          </w:tcPr>
          <w:p w14:paraId="749ED060" w14:textId="3F4A3167" w:rsidR="00B56899" w:rsidRPr="008E1C7E" w:rsidRDefault="00820387" w:rsidP="00BC48F9">
            <w:pPr>
              <w:spacing w:line="360" w:lineRule="auto"/>
              <w:rPr>
                <w:rFonts w:ascii="Arial" w:hAnsi="Arial" w:cs="Arial"/>
                <w:sz w:val="20"/>
                <w:szCs w:val="20"/>
              </w:rPr>
            </w:pPr>
            <w:r>
              <w:rPr>
                <w:rFonts w:ascii="Arial" w:hAnsi="Arial" w:cs="Arial"/>
                <w:sz w:val="20"/>
                <w:szCs w:val="20"/>
              </w:rPr>
              <w:t>-0.7 (1.7)</w:t>
            </w:r>
          </w:p>
        </w:tc>
        <w:tc>
          <w:tcPr>
            <w:tcW w:w="0" w:type="auto"/>
          </w:tcPr>
          <w:p w14:paraId="0BACEDB0" w14:textId="4DCD7EE8" w:rsidR="00B56899" w:rsidRPr="008E1C7E" w:rsidRDefault="00FD6F97" w:rsidP="00BC48F9">
            <w:pPr>
              <w:spacing w:line="360" w:lineRule="auto"/>
              <w:rPr>
                <w:rFonts w:ascii="Arial" w:hAnsi="Arial" w:cs="Arial"/>
                <w:sz w:val="20"/>
                <w:szCs w:val="20"/>
              </w:rPr>
            </w:pPr>
            <w:r>
              <w:rPr>
                <w:rFonts w:ascii="Arial" w:hAnsi="Arial" w:cs="Arial"/>
                <w:sz w:val="20"/>
                <w:szCs w:val="20"/>
              </w:rPr>
              <w:t>-6.0 (3.9)</w:t>
            </w:r>
          </w:p>
        </w:tc>
        <w:tc>
          <w:tcPr>
            <w:tcW w:w="0" w:type="auto"/>
          </w:tcPr>
          <w:p w14:paraId="04272154" w14:textId="3203DC25" w:rsidR="00B56899" w:rsidRPr="008E1C7E" w:rsidRDefault="00016259" w:rsidP="00BC48F9">
            <w:pPr>
              <w:spacing w:line="360" w:lineRule="auto"/>
              <w:rPr>
                <w:rFonts w:ascii="Arial" w:hAnsi="Arial" w:cs="Arial"/>
                <w:sz w:val="20"/>
                <w:szCs w:val="20"/>
              </w:rPr>
            </w:pPr>
            <w:r>
              <w:rPr>
                <w:rFonts w:ascii="Arial" w:hAnsi="Arial" w:cs="Arial"/>
                <w:sz w:val="20"/>
                <w:szCs w:val="20"/>
              </w:rPr>
              <w:t>-1.4 (1.0)</w:t>
            </w:r>
          </w:p>
        </w:tc>
        <w:tc>
          <w:tcPr>
            <w:tcW w:w="0" w:type="auto"/>
          </w:tcPr>
          <w:p w14:paraId="6C364351" w14:textId="444885C7" w:rsidR="00B56899" w:rsidRPr="008E1C7E" w:rsidRDefault="00E73FFF" w:rsidP="00BC48F9">
            <w:pPr>
              <w:spacing w:line="360" w:lineRule="auto"/>
              <w:rPr>
                <w:rFonts w:ascii="Arial" w:hAnsi="Arial" w:cs="Arial"/>
                <w:sz w:val="20"/>
                <w:szCs w:val="20"/>
              </w:rPr>
            </w:pPr>
            <w:r>
              <w:rPr>
                <w:rFonts w:ascii="Arial" w:hAnsi="Arial" w:cs="Arial"/>
                <w:sz w:val="20"/>
                <w:szCs w:val="20"/>
              </w:rPr>
              <w:t>-4.2 (</w:t>
            </w:r>
            <w:proofErr w:type="gramStart"/>
            <w:r>
              <w:rPr>
                <w:rFonts w:ascii="Arial" w:hAnsi="Arial" w:cs="Arial"/>
                <w:sz w:val="20"/>
                <w:szCs w:val="20"/>
              </w:rPr>
              <w:t>1.4)*</w:t>
            </w:r>
            <w:proofErr w:type="gramEnd"/>
            <w:r>
              <w:rPr>
                <w:rFonts w:ascii="Arial" w:hAnsi="Arial" w:cs="Arial"/>
                <w:sz w:val="20"/>
                <w:szCs w:val="20"/>
              </w:rPr>
              <w:t>*</w:t>
            </w:r>
          </w:p>
        </w:tc>
        <w:tc>
          <w:tcPr>
            <w:tcW w:w="0" w:type="auto"/>
          </w:tcPr>
          <w:p w14:paraId="78C17647" w14:textId="56196998" w:rsidR="00B56899" w:rsidRPr="008E1C7E" w:rsidRDefault="004F54BF" w:rsidP="00BC48F9">
            <w:pPr>
              <w:spacing w:line="360" w:lineRule="auto"/>
              <w:rPr>
                <w:rFonts w:ascii="Arial" w:hAnsi="Arial" w:cs="Arial"/>
                <w:sz w:val="20"/>
                <w:szCs w:val="20"/>
              </w:rPr>
            </w:pPr>
            <w:r>
              <w:rPr>
                <w:rFonts w:ascii="Arial" w:hAnsi="Arial" w:cs="Arial"/>
                <w:sz w:val="20"/>
                <w:szCs w:val="20"/>
              </w:rPr>
              <w:t>-0.9 (1.1)</w:t>
            </w:r>
          </w:p>
        </w:tc>
        <w:tc>
          <w:tcPr>
            <w:tcW w:w="0" w:type="auto"/>
          </w:tcPr>
          <w:p w14:paraId="30E38BBD" w14:textId="393B19B1" w:rsidR="00B56899" w:rsidRPr="008E1C7E" w:rsidRDefault="007A717F" w:rsidP="00BC48F9">
            <w:pPr>
              <w:spacing w:line="360" w:lineRule="auto"/>
              <w:rPr>
                <w:rFonts w:ascii="Arial" w:hAnsi="Arial" w:cs="Arial"/>
                <w:sz w:val="20"/>
                <w:szCs w:val="20"/>
              </w:rPr>
            </w:pPr>
            <w:r>
              <w:rPr>
                <w:rFonts w:ascii="Arial" w:hAnsi="Arial" w:cs="Arial"/>
                <w:sz w:val="20"/>
                <w:szCs w:val="20"/>
              </w:rPr>
              <w:t>9.7 (5.7)</w:t>
            </w:r>
          </w:p>
        </w:tc>
        <w:tc>
          <w:tcPr>
            <w:tcW w:w="0" w:type="auto"/>
          </w:tcPr>
          <w:p w14:paraId="24749493" w14:textId="38DAE294" w:rsidR="00B56899" w:rsidRPr="008E1C7E" w:rsidRDefault="00C16900" w:rsidP="00BC48F9">
            <w:pPr>
              <w:spacing w:line="360" w:lineRule="auto"/>
              <w:rPr>
                <w:rFonts w:ascii="Arial" w:hAnsi="Arial" w:cs="Arial"/>
                <w:sz w:val="20"/>
                <w:szCs w:val="20"/>
              </w:rPr>
            </w:pPr>
            <w:r>
              <w:rPr>
                <w:rFonts w:ascii="Arial" w:hAnsi="Arial" w:cs="Arial"/>
                <w:sz w:val="20"/>
                <w:szCs w:val="20"/>
              </w:rPr>
              <w:t>42.9 (44.5)</w:t>
            </w:r>
          </w:p>
        </w:tc>
      </w:tr>
      <w:tr w:rsidR="00B56899" w:rsidRPr="008E1C7E" w14:paraId="4897B30A" w14:textId="77777777" w:rsidTr="00BC48F9">
        <w:tc>
          <w:tcPr>
            <w:tcW w:w="0" w:type="auto"/>
          </w:tcPr>
          <w:p w14:paraId="3C6221D5" w14:textId="77777777" w:rsidR="00B56899" w:rsidRPr="008E1C7E" w:rsidRDefault="00B56899" w:rsidP="00BC48F9">
            <w:pPr>
              <w:spacing w:line="360" w:lineRule="auto"/>
              <w:rPr>
                <w:rFonts w:ascii="Arial" w:hAnsi="Arial" w:cs="Arial"/>
                <w:sz w:val="20"/>
                <w:szCs w:val="20"/>
              </w:rPr>
            </w:pPr>
            <w:r w:rsidRPr="008E1C7E">
              <w:rPr>
                <w:rFonts w:ascii="Arial" w:hAnsi="Arial" w:cs="Arial"/>
                <w:sz w:val="20"/>
                <w:szCs w:val="20"/>
              </w:rPr>
              <w:t>Non-primary-care specialized physicians per 10,000 population</w:t>
            </w:r>
          </w:p>
        </w:tc>
        <w:tc>
          <w:tcPr>
            <w:tcW w:w="0" w:type="auto"/>
          </w:tcPr>
          <w:p w14:paraId="1BB8B70E" w14:textId="4A122947" w:rsidR="00B56899" w:rsidRPr="008E1C7E" w:rsidRDefault="00DB5FA7" w:rsidP="00BC48F9">
            <w:pPr>
              <w:spacing w:line="360" w:lineRule="auto"/>
              <w:rPr>
                <w:rFonts w:ascii="Arial" w:hAnsi="Arial" w:cs="Arial"/>
                <w:sz w:val="20"/>
                <w:szCs w:val="20"/>
              </w:rPr>
            </w:pPr>
            <w:r>
              <w:rPr>
                <w:rFonts w:ascii="Arial" w:hAnsi="Arial" w:cs="Arial"/>
                <w:sz w:val="20"/>
                <w:szCs w:val="20"/>
              </w:rPr>
              <w:t>16.3 (9.1)</w:t>
            </w:r>
          </w:p>
        </w:tc>
        <w:tc>
          <w:tcPr>
            <w:tcW w:w="0" w:type="auto"/>
          </w:tcPr>
          <w:p w14:paraId="1853634A" w14:textId="3C3F81DA" w:rsidR="00B56899" w:rsidRPr="008E1C7E" w:rsidRDefault="00820387" w:rsidP="00BC48F9">
            <w:pPr>
              <w:spacing w:line="360" w:lineRule="auto"/>
              <w:rPr>
                <w:rFonts w:ascii="Arial" w:hAnsi="Arial" w:cs="Arial"/>
                <w:sz w:val="20"/>
                <w:szCs w:val="20"/>
              </w:rPr>
            </w:pPr>
            <w:r>
              <w:rPr>
                <w:rFonts w:ascii="Arial" w:hAnsi="Arial" w:cs="Arial"/>
                <w:sz w:val="20"/>
                <w:szCs w:val="20"/>
              </w:rPr>
              <w:t>-2.3 (1.2)</w:t>
            </w:r>
          </w:p>
        </w:tc>
        <w:tc>
          <w:tcPr>
            <w:tcW w:w="0" w:type="auto"/>
          </w:tcPr>
          <w:p w14:paraId="5214C122" w14:textId="492CCC25" w:rsidR="00B56899" w:rsidRPr="008E1C7E" w:rsidRDefault="00FD6F97" w:rsidP="00BC48F9">
            <w:pPr>
              <w:spacing w:line="360" w:lineRule="auto"/>
              <w:rPr>
                <w:rFonts w:ascii="Arial" w:hAnsi="Arial" w:cs="Arial"/>
                <w:sz w:val="20"/>
                <w:szCs w:val="20"/>
              </w:rPr>
            </w:pPr>
            <w:r>
              <w:rPr>
                <w:rFonts w:ascii="Arial" w:hAnsi="Arial" w:cs="Arial"/>
                <w:sz w:val="20"/>
                <w:szCs w:val="20"/>
              </w:rPr>
              <w:t>-9.2 (10.0)</w:t>
            </w:r>
          </w:p>
        </w:tc>
        <w:tc>
          <w:tcPr>
            <w:tcW w:w="0" w:type="auto"/>
          </w:tcPr>
          <w:p w14:paraId="0142187C" w14:textId="048538CD" w:rsidR="00B56899" w:rsidRPr="008E1C7E" w:rsidRDefault="00016259" w:rsidP="00BC48F9">
            <w:pPr>
              <w:spacing w:line="360" w:lineRule="auto"/>
              <w:rPr>
                <w:rFonts w:ascii="Arial" w:hAnsi="Arial" w:cs="Arial"/>
                <w:sz w:val="20"/>
                <w:szCs w:val="20"/>
              </w:rPr>
            </w:pPr>
            <w:r>
              <w:rPr>
                <w:rFonts w:ascii="Arial" w:hAnsi="Arial" w:cs="Arial"/>
                <w:sz w:val="20"/>
                <w:szCs w:val="20"/>
              </w:rPr>
              <w:t>-5.4 (3.9)</w:t>
            </w:r>
          </w:p>
        </w:tc>
        <w:tc>
          <w:tcPr>
            <w:tcW w:w="0" w:type="auto"/>
          </w:tcPr>
          <w:p w14:paraId="5FB20C6F" w14:textId="14A58039" w:rsidR="00B56899" w:rsidRPr="008E1C7E" w:rsidRDefault="00E73FFF" w:rsidP="00BC48F9">
            <w:pPr>
              <w:spacing w:line="360" w:lineRule="auto"/>
              <w:rPr>
                <w:rFonts w:ascii="Arial" w:hAnsi="Arial" w:cs="Arial"/>
                <w:sz w:val="20"/>
                <w:szCs w:val="20"/>
              </w:rPr>
            </w:pPr>
            <w:r>
              <w:rPr>
                <w:rFonts w:ascii="Arial" w:hAnsi="Arial" w:cs="Arial"/>
                <w:sz w:val="20"/>
                <w:szCs w:val="20"/>
              </w:rPr>
              <w:t>-8.0 (</w:t>
            </w:r>
            <w:proofErr w:type="gramStart"/>
            <w:r>
              <w:rPr>
                <w:rFonts w:ascii="Arial" w:hAnsi="Arial" w:cs="Arial"/>
                <w:sz w:val="20"/>
                <w:szCs w:val="20"/>
              </w:rPr>
              <w:t>3.1)*</w:t>
            </w:r>
            <w:proofErr w:type="gramEnd"/>
          </w:p>
        </w:tc>
        <w:tc>
          <w:tcPr>
            <w:tcW w:w="0" w:type="auto"/>
          </w:tcPr>
          <w:p w14:paraId="4C93F1CA" w14:textId="7F7BBFE7" w:rsidR="00B56899" w:rsidRPr="008E1C7E" w:rsidRDefault="004F54BF" w:rsidP="00BC48F9">
            <w:pPr>
              <w:spacing w:line="360" w:lineRule="auto"/>
              <w:rPr>
                <w:rFonts w:ascii="Arial" w:hAnsi="Arial" w:cs="Arial"/>
                <w:sz w:val="20"/>
                <w:szCs w:val="20"/>
              </w:rPr>
            </w:pPr>
            <w:r>
              <w:rPr>
                <w:rFonts w:ascii="Arial" w:hAnsi="Arial" w:cs="Arial"/>
                <w:sz w:val="20"/>
                <w:szCs w:val="20"/>
              </w:rPr>
              <w:t>3.7 (2.7)</w:t>
            </w:r>
          </w:p>
        </w:tc>
        <w:tc>
          <w:tcPr>
            <w:tcW w:w="0" w:type="auto"/>
          </w:tcPr>
          <w:p w14:paraId="62AFB42A" w14:textId="22FD9BD5" w:rsidR="00B56899" w:rsidRPr="008E1C7E" w:rsidRDefault="007A717F" w:rsidP="00BC48F9">
            <w:pPr>
              <w:spacing w:line="360" w:lineRule="auto"/>
              <w:rPr>
                <w:rFonts w:ascii="Arial" w:hAnsi="Arial" w:cs="Arial"/>
                <w:sz w:val="20"/>
                <w:szCs w:val="20"/>
              </w:rPr>
            </w:pPr>
            <w:r>
              <w:rPr>
                <w:rFonts w:ascii="Arial" w:hAnsi="Arial" w:cs="Arial"/>
                <w:sz w:val="20"/>
                <w:szCs w:val="20"/>
              </w:rPr>
              <w:t>2.5 (22.5)</w:t>
            </w:r>
          </w:p>
        </w:tc>
        <w:tc>
          <w:tcPr>
            <w:tcW w:w="0" w:type="auto"/>
          </w:tcPr>
          <w:p w14:paraId="099F8AAD" w14:textId="2FC93C4F" w:rsidR="00B56899" w:rsidRPr="008E1C7E" w:rsidRDefault="00C16900" w:rsidP="00BC48F9">
            <w:pPr>
              <w:spacing w:line="360" w:lineRule="auto"/>
              <w:rPr>
                <w:rFonts w:ascii="Arial" w:hAnsi="Arial" w:cs="Arial"/>
                <w:sz w:val="20"/>
                <w:szCs w:val="20"/>
              </w:rPr>
            </w:pPr>
            <w:r>
              <w:rPr>
                <w:rFonts w:ascii="Arial" w:hAnsi="Arial" w:cs="Arial"/>
                <w:sz w:val="20"/>
                <w:szCs w:val="20"/>
              </w:rPr>
              <w:t>-259.8 (243.5)</w:t>
            </w:r>
          </w:p>
        </w:tc>
      </w:tr>
    </w:tbl>
    <w:p w14:paraId="23CA2679" w14:textId="77777777" w:rsidR="006E462C" w:rsidRDefault="006E462C" w:rsidP="006E462C">
      <w:pPr>
        <w:spacing w:line="360" w:lineRule="auto"/>
        <w:rPr>
          <w:rFonts w:ascii="Times New Roman" w:hAnsi="Times New Roman"/>
        </w:rPr>
      </w:pPr>
      <w:r>
        <w:rPr>
          <w:rFonts w:ascii="Times New Roman" w:hAnsi="Times New Roman"/>
        </w:rPr>
        <w:t>*P&lt;0.05; **P&lt;0.01</w:t>
      </w:r>
    </w:p>
    <w:p w14:paraId="354B227B" w14:textId="48F25111" w:rsidR="00590026" w:rsidRDefault="00590026" w:rsidP="00590026">
      <w:pPr>
        <w:spacing w:line="360" w:lineRule="auto"/>
        <w:rPr>
          <w:rFonts w:ascii="Times New Roman" w:hAnsi="Times New Roman"/>
        </w:rPr>
      </w:pPr>
    </w:p>
    <w:p w14:paraId="231B7465" w14:textId="6837A5D9" w:rsidR="006E462C" w:rsidRDefault="006E462C" w:rsidP="006E462C">
      <w:pPr>
        <w:spacing w:line="360" w:lineRule="auto"/>
        <w:rPr>
          <w:rFonts w:ascii="Times New Roman" w:hAnsi="Times New Roman"/>
        </w:rPr>
      </w:pPr>
    </w:p>
    <w:p w14:paraId="4B3DF0A0" w14:textId="1C62BFFE" w:rsidR="006E462C" w:rsidRDefault="006E462C" w:rsidP="0083200D">
      <w:pPr>
        <w:spacing w:line="360" w:lineRule="auto"/>
        <w:rPr>
          <w:rFonts w:ascii="Times New Roman" w:hAnsi="Times New Roman"/>
        </w:rPr>
        <w:sectPr w:rsidR="006E462C" w:rsidSect="007C73EC">
          <w:pgSz w:w="15840" w:h="12240" w:orient="landscape"/>
          <w:pgMar w:top="1800" w:right="1440" w:bottom="1800" w:left="1440" w:header="720" w:footer="720" w:gutter="0"/>
          <w:lnNumType w:countBy="1" w:restart="continuous"/>
          <w:cols w:space="720"/>
          <w:docGrid w:linePitch="360"/>
        </w:sectPr>
      </w:pPr>
    </w:p>
    <w:p w14:paraId="58EA4192" w14:textId="77777777" w:rsidR="0083200D" w:rsidRPr="004C2EB7" w:rsidRDefault="0083200D" w:rsidP="00FB60C0">
      <w:pPr>
        <w:spacing w:line="360" w:lineRule="auto"/>
        <w:rPr>
          <w:rFonts w:ascii="Times New Roman" w:hAnsi="Times New Roman"/>
        </w:rPr>
      </w:pPr>
    </w:p>
    <w:sectPr w:rsidR="0083200D" w:rsidRPr="004C2EB7" w:rsidSect="00D634E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jay Basu" w:date="2018-03-27T13:14:00Z" w:initials="SB">
    <w:p w14:paraId="1D1F4ED3" w14:textId="77777777" w:rsidR="005F418F" w:rsidRDefault="005F418F">
      <w:pPr>
        <w:pStyle w:val="CommentText"/>
      </w:pPr>
      <w:r>
        <w:rPr>
          <w:rStyle w:val="CommentReference"/>
        </w:rPr>
        <w:annotationRef/>
      </w:r>
      <w:r>
        <w:t>If we submit to AJPH, the title page must be blinded</w:t>
      </w:r>
    </w:p>
    <w:p w14:paraId="5C5826FF" w14:textId="77777777" w:rsidR="005F418F" w:rsidRDefault="005F418F">
      <w:pPr>
        <w:pStyle w:val="CommentText"/>
      </w:pPr>
    </w:p>
    <w:p w14:paraId="4B1C3D54" w14:textId="3450725B" w:rsidR="005F418F" w:rsidRDefault="005F418F">
      <w:pPr>
        <w:pStyle w:val="CommentText"/>
      </w:pPr>
      <w:r>
        <w:t>I’m thinking AJPH as primary</w:t>
      </w:r>
    </w:p>
    <w:p w14:paraId="1A23810C" w14:textId="34FCEB85" w:rsidR="005F418F" w:rsidRDefault="005F418F">
      <w:pPr>
        <w:pStyle w:val="CommentText"/>
      </w:pPr>
      <w:r>
        <w:t>Then Health Affairs as second choice</w:t>
      </w:r>
    </w:p>
    <w:p w14:paraId="38939116" w14:textId="5410FF37" w:rsidR="00033BE4" w:rsidRDefault="00033BE4">
      <w:pPr>
        <w:pStyle w:val="CommentText"/>
      </w:pPr>
      <w:r>
        <w:t>Then maybe medical care as third choice</w:t>
      </w:r>
    </w:p>
    <w:p w14:paraId="65F2035E" w14:textId="77777777" w:rsidR="005F418F" w:rsidRDefault="005F418F">
      <w:pPr>
        <w:pStyle w:val="CommentText"/>
      </w:pPr>
    </w:p>
    <w:p w14:paraId="10781E5E" w14:textId="07B0CA15" w:rsidR="005F418F" w:rsidRPr="002355A1" w:rsidRDefault="005F418F">
      <w:pPr>
        <w:pStyle w:val="CommentText"/>
        <w:rPr>
          <w:b/>
        </w:rPr>
      </w:pPr>
      <w:r>
        <w:rPr>
          <w:b/>
        </w:rPr>
        <w:t>Please suggest potential reviewers for this article</w:t>
      </w:r>
    </w:p>
  </w:comment>
  <w:comment w:id="1" w:author="Sanjay Basu" w:date="2018-03-27T14:52:00Z" w:initials="SB">
    <w:p w14:paraId="2D1DA80F" w14:textId="79867F6D" w:rsidR="005F418F" w:rsidRDefault="005F418F" w:rsidP="00DB0FC1">
      <w:pPr>
        <w:pStyle w:val="NormalWeb"/>
      </w:pPr>
      <w:r>
        <w:rPr>
          <w:rStyle w:val="CommentReference"/>
        </w:rPr>
        <w:annotationRef/>
      </w:r>
      <w:r>
        <w:t>For AJPH, u</w:t>
      </w:r>
      <w:r>
        <w:rPr>
          <w:rFonts w:ascii="Arial" w:hAnsi="Arial" w:cs="Arial"/>
        </w:rPr>
        <w:t xml:space="preserve">p to 3500 words in the text, a structured abstract, up to 4 tables &amp; figures combined, and no more than 35 references </w:t>
      </w:r>
    </w:p>
    <w:p w14:paraId="5C032018" w14:textId="0EB00A59" w:rsidR="005F418F" w:rsidRDefault="005F418F">
      <w:pPr>
        <w:pStyle w:val="CommentText"/>
      </w:pPr>
    </w:p>
  </w:comment>
  <w:comment w:id="2" w:author="Sanjay Basu" w:date="2018-03-27T13:14:00Z" w:initials="SB">
    <w:p w14:paraId="551FBBC2" w14:textId="33A7A40B" w:rsidR="005F418F" w:rsidRDefault="005F418F">
      <w:pPr>
        <w:pStyle w:val="CommentText"/>
      </w:pPr>
      <w:r>
        <w:rPr>
          <w:rStyle w:val="CommentReference"/>
        </w:rPr>
        <w:annotationRef/>
      </w:r>
      <w:r>
        <w:t>For AJPH, up to 180 words</w:t>
      </w:r>
      <w:r w:rsidR="004F5AA3">
        <w:t xml:space="preserve">, currently </w:t>
      </w:r>
      <w:r w:rsidR="00C81ECA">
        <w:t>196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81E5E" w15:done="0"/>
  <w15:commentEx w15:paraId="5C032018" w15:done="0"/>
  <w15:commentEx w15:paraId="551FBB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81E5E" w16cid:durableId="1E64C21B"/>
  <w16cid:commentId w16cid:paraId="5C032018" w16cid:durableId="1E64D940"/>
  <w16cid:commentId w16cid:paraId="551FBBC2" w16cid:durableId="1E64C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28CD" w14:textId="77777777" w:rsidR="00833938" w:rsidRDefault="00833938" w:rsidP="00EB1580">
      <w:r>
        <w:separator/>
      </w:r>
    </w:p>
  </w:endnote>
  <w:endnote w:type="continuationSeparator" w:id="0">
    <w:p w14:paraId="5E49DC43" w14:textId="77777777" w:rsidR="00833938" w:rsidRDefault="00833938" w:rsidP="00EB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52B4A" w14:textId="77777777" w:rsidR="005F418F" w:rsidRPr="004C2EB7" w:rsidRDefault="005F418F" w:rsidP="004C2EB7">
    <w:pPr>
      <w:pStyle w:val="Footer"/>
      <w:tabs>
        <w:tab w:val="clear" w:pos="8640"/>
      </w:tabs>
      <w:jc w:val="center"/>
      <w:rPr>
        <w:rFonts w:ascii="Times New Roman" w:hAnsi="Times New Roman"/>
        <w:sz w:val="20"/>
        <w:szCs w:val="20"/>
      </w:rPr>
    </w:pPr>
    <w:r w:rsidRPr="004C2EB7">
      <w:rPr>
        <w:rFonts w:ascii="Times New Roman" w:hAnsi="Times New Roman"/>
        <w:sz w:val="20"/>
        <w:szCs w:val="20"/>
      </w:rPr>
      <w:t xml:space="preserve">Page </w:t>
    </w:r>
    <w:r w:rsidRPr="004C2EB7">
      <w:rPr>
        <w:rFonts w:ascii="Times New Roman" w:hAnsi="Times New Roman"/>
        <w:sz w:val="20"/>
        <w:szCs w:val="20"/>
      </w:rPr>
      <w:fldChar w:fldCharType="begin"/>
    </w:r>
    <w:r w:rsidRPr="004C2EB7">
      <w:rPr>
        <w:rFonts w:ascii="Times New Roman" w:hAnsi="Times New Roman"/>
        <w:sz w:val="20"/>
        <w:szCs w:val="20"/>
      </w:rPr>
      <w:instrText xml:space="preserve"> PAGE </w:instrText>
    </w:r>
    <w:r w:rsidRPr="004C2EB7">
      <w:rPr>
        <w:rFonts w:ascii="Times New Roman" w:hAnsi="Times New Roman"/>
        <w:sz w:val="20"/>
        <w:szCs w:val="20"/>
      </w:rPr>
      <w:fldChar w:fldCharType="separate"/>
    </w:r>
    <w:r>
      <w:rPr>
        <w:rFonts w:ascii="Times New Roman" w:hAnsi="Times New Roman"/>
        <w:noProof/>
        <w:sz w:val="20"/>
        <w:szCs w:val="20"/>
      </w:rPr>
      <w:t>1</w:t>
    </w:r>
    <w:r w:rsidRPr="004C2EB7">
      <w:rPr>
        <w:rFonts w:ascii="Times New Roman" w:hAnsi="Times New Roman"/>
        <w:sz w:val="20"/>
        <w:szCs w:val="20"/>
      </w:rPr>
      <w:fldChar w:fldCharType="end"/>
    </w:r>
    <w:r w:rsidRPr="004C2EB7">
      <w:rPr>
        <w:rFonts w:ascii="Times New Roman" w:hAnsi="Times New Roman"/>
        <w:sz w:val="20"/>
        <w:szCs w:val="20"/>
      </w:rPr>
      <w:t xml:space="preserve"> of </w:t>
    </w:r>
    <w:r w:rsidRPr="004C2EB7">
      <w:rPr>
        <w:rFonts w:ascii="Times New Roman" w:hAnsi="Times New Roman"/>
        <w:sz w:val="20"/>
        <w:szCs w:val="20"/>
      </w:rPr>
      <w:fldChar w:fldCharType="begin"/>
    </w:r>
    <w:r w:rsidRPr="004C2EB7">
      <w:rPr>
        <w:rFonts w:ascii="Times New Roman" w:hAnsi="Times New Roman"/>
        <w:sz w:val="20"/>
        <w:szCs w:val="20"/>
      </w:rPr>
      <w:instrText xml:space="preserve"> NUMPAGES </w:instrText>
    </w:r>
    <w:r w:rsidRPr="004C2EB7">
      <w:rPr>
        <w:rFonts w:ascii="Times New Roman" w:hAnsi="Times New Roman"/>
        <w:sz w:val="20"/>
        <w:szCs w:val="20"/>
      </w:rPr>
      <w:fldChar w:fldCharType="separate"/>
    </w:r>
    <w:r>
      <w:rPr>
        <w:rFonts w:ascii="Times New Roman" w:hAnsi="Times New Roman"/>
        <w:noProof/>
        <w:sz w:val="20"/>
        <w:szCs w:val="20"/>
      </w:rPr>
      <w:t>1</w:t>
    </w:r>
    <w:r w:rsidRPr="004C2EB7">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87F88" w14:textId="77777777" w:rsidR="00833938" w:rsidRDefault="00833938" w:rsidP="00EB1580">
      <w:r>
        <w:separator/>
      </w:r>
    </w:p>
  </w:footnote>
  <w:footnote w:type="continuationSeparator" w:id="0">
    <w:p w14:paraId="120CA9DB" w14:textId="77777777" w:rsidR="00833938" w:rsidRDefault="00833938" w:rsidP="00EB158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ay Basu">
    <w15:presenceInfo w15:providerId="Windows Live" w15:userId="0a459650-6294-41e1-9ff5-0a191db9d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45"/>
    <w:rsid w:val="00001690"/>
    <w:rsid w:val="00003D6E"/>
    <w:rsid w:val="00007A08"/>
    <w:rsid w:val="00007C6A"/>
    <w:rsid w:val="0001036A"/>
    <w:rsid w:val="00010BE1"/>
    <w:rsid w:val="00011BED"/>
    <w:rsid w:val="00011F21"/>
    <w:rsid w:val="000120D6"/>
    <w:rsid w:val="00015034"/>
    <w:rsid w:val="00015465"/>
    <w:rsid w:val="000158C8"/>
    <w:rsid w:val="00015C91"/>
    <w:rsid w:val="00016007"/>
    <w:rsid w:val="00016259"/>
    <w:rsid w:val="00016287"/>
    <w:rsid w:val="00016C44"/>
    <w:rsid w:val="0001716E"/>
    <w:rsid w:val="000178CA"/>
    <w:rsid w:val="000231DD"/>
    <w:rsid w:val="000266B5"/>
    <w:rsid w:val="00030496"/>
    <w:rsid w:val="00031A4E"/>
    <w:rsid w:val="00032E67"/>
    <w:rsid w:val="00033BE4"/>
    <w:rsid w:val="00035FC9"/>
    <w:rsid w:val="00041AC0"/>
    <w:rsid w:val="000424D1"/>
    <w:rsid w:val="00043DE5"/>
    <w:rsid w:val="00047D02"/>
    <w:rsid w:val="00051199"/>
    <w:rsid w:val="00051E35"/>
    <w:rsid w:val="000555BA"/>
    <w:rsid w:val="00060E59"/>
    <w:rsid w:val="0006106A"/>
    <w:rsid w:val="000612B9"/>
    <w:rsid w:val="000612F9"/>
    <w:rsid w:val="00071B92"/>
    <w:rsid w:val="00071C83"/>
    <w:rsid w:val="0007239A"/>
    <w:rsid w:val="00072DFE"/>
    <w:rsid w:val="00073D53"/>
    <w:rsid w:val="00073DE9"/>
    <w:rsid w:val="00075399"/>
    <w:rsid w:val="00075BAD"/>
    <w:rsid w:val="0007671A"/>
    <w:rsid w:val="00076D52"/>
    <w:rsid w:val="0008133E"/>
    <w:rsid w:val="000817E4"/>
    <w:rsid w:val="00082298"/>
    <w:rsid w:val="000829A8"/>
    <w:rsid w:val="00084239"/>
    <w:rsid w:val="00086D39"/>
    <w:rsid w:val="00087180"/>
    <w:rsid w:val="000913B0"/>
    <w:rsid w:val="00091552"/>
    <w:rsid w:val="00091A18"/>
    <w:rsid w:val="00091ABC"/>
    <w:rsid w:val="00095508"/>
    <w:rsid w:val="000A20CC"/>
    <w:rsid w:val="000A4850"/>
    <w:rsid w:val="000A5F5D"/>
    <w:rsid w:val="000A7010"/>
    <w:rsid w:val="000A7137"/>
    <w:rsid w:val="000A7F6D"/>
    <w:rsid w:val="000B06BE"/>
    <w:rsid w:val="000B3268"/>
    <w:rsid w:val="000B56C9"/>
    <w:rsid w:val="000B60C6"/>
    <w:rsid w:val="000C3A44"/>
    <w:rsid w:val="000C67F3"/>
    <w:rsid w:val="000C69CA"/>
    <w:rsid w:val="000D1146"/>
    <w:rsid w:val="000D120F"/>
    <w:rsid w:val="000E0198"/>
    <w:rsid w:val="000E02AB"/>
    <w:rsid w:val="000E1CAF"/>
    <w:rsid w:val="000E2972"/>
    <w:rsid w:val="000E33B8"/>
    <w:rsid w:val="000F0FEA"/>
    <w:rsid w:val="000F32BF"/>
    <w:rsid w:val="000F4304"/>
    <w:rsid w:val="00100293"/>
    <w:rsid w:val="00100A6A"/>
    <w:rsid w:val="00102C43"/>
    <w:rsid w:val="00104569"/>
    <w:rsid w:val="00110436"/>
    <w:rsid w:val="00113737"/>
    <w:rsid w:val="00120597"/>
    <w:rsid w:val="0012182F"/>
    <w:rsid w:val="00122146"/>
    <w:rsid w:val="00125F6C"/>
    <w:rsid w:val="00127727"/>
    <w:rsid w:val="00130A19"/>
    <w:rsid w:val="00132B07"/>
    <w:rsid w:val="00133F47"/>
    <w:rsid w:val="00134E6D"/>
    <w:rsid w:val="00137E49"/>
    <w:rsid w:val="0014025D"/>
    <w:rsid w:val="0014078E"/>
    <w:rsid w:val="00140ECC"/>
    <w:rsid w:val="00141622"/>
    <w:rsid w:val="00142586"/>
    <w:rsid w:val="00142BB3"/>
    <w:rsid w:val="00143520"/>
    <w:rsid w:val="00145F8C"/>
    <w:rsid w:val="001462DC"/>
    <w:rsid w:val="0014635A"/>
    <w:rsid w:val="001466CF"/>
    <w:rsid w:val="00147878"/>
    <w:rsid w:val="00152315"/>
    <w:rsid w:val="00153C3F"/>
    <w:rsid w:val="0015500F"/>
    <w:rsid w:val="001577DE"/>
    <w:rsid w:val="00160A9D"/>
    <w:rsid w:val="001619CE"/>
    <w:rsid w:val="00162489"/>
    <w:rsid w:val="00162AEF"/>
    <w:rsid w:val="00162D56"/>
    <w:rsid w:val="0016323D"/>
    <w:rsid w:val="001664D2"/>
    <w:rsid w:val="0016789A"/>
    <w:rsid w:val="00171298"/>
    <w:rsid w:val="001716F2"/>
    <w:rsid w:val="00174047"/>
    <w:rsid w:val="001753D5"/>
    <w:rsid w:val="00177BA8"/>
    <w:rsid w:val="00181FA4"/>
    <w:rsid w:val="001877C6"/>
    <w:rsid w:val="00191F13"/>
    <w:rsid w:val="00192CD2"/>
    <w:rsid w:val="00196FE2"/>
    <w:rsid w:val="001A3D31"/>
    <w:rsid w:val="001A7581"/>
    <w:rsid w:val="001B1B01"/>
    <w:rsid w:val="001B1B2F"/>
    <w:rsid w:val="001B1C60"/>
    <w:rsid w:val="001B38F3"/>
    <w:rsid w:val="001B395F"/>
    <w:rsid w:val="001B5E6C"/>
    <w:rsid w:val="001B7B6A"/>
    <w:rsid w:val="001C0118"/>
    <w:rsid w:val="001C0273"/>
    <w:rsid w:val="001C02E1"/>
    <w:rsid w:val="001C1D17"/>
    <w:rsid w:val="001C424D"/>
    <w:rsid w:val="001C5CDE"/>
    <w:rsid w:val="001C7C91"/>
    <w:rsid w:val="001C7EF8"/>
    <w:rsid w:val="001D00DB"/>
    <w:rsid w:val="001D2289"/>
    <w:rsid w:val="001D6540"/>
    <w:rsid w:val="001D6EF2"/>
    <w:rsid w:val="001D7564"/>
    <w:rsid w:val="001D7C60"/>
    <w:rsid w:val="001E1456"/>
    <w:rsid w:val="001E1A5A"/>
    <w:rsid w:val="001E7A82"/>
    <w:rsid w:val="001F1497"/>
    <w:rsid w:val="001F5325"/>
    <w:rsid w:val="001F56D8"/>
    <w:rsid w:val="001F57D0"/>
    <w:rsid w:val="001F5F93"/>
    <w:rsid w:val="001F6F52"/>
    <w:rsid w:val="00200D86"/>
    <w:rsid w:val="00201AB0"/>
    <w:rsid w:val="00202E2E"/>
    <w:rsid w:val="0020708E"/>
    <w:rsid w:val="00210524"/>
    <w:rsid w:val="00211BAA"/>
    <w:rsid w:val="002137E7"/>
    <w:rsid w:val="0021672F"/>
    <w:rsid w:val="00227602"/>
    <w:rsid w:val="00227C86"/>
    <w:rsid w:val="00227E70"/>
    <w:rsid w:val="002308B0"/>
    <w:rsid w:val="00231854"/>
    <w:rsid w:val="002328F5"/>
    <w:rsid w:val="00232BA9"/>
    <w:rsid w:val="002337EC"/>
    <w:rsid w:val="00233D9E"/>
    <w:rsid w:val="002355A1"/>
    <w:rsid w:val="00236D63"/>
    <w:rsid w:val="00244DA6"/>
    <w:rsid w:val="00245562"/>
    <w:rsid w:val="00245F43"/>
    <w:rsid w:val="0025104B"/>
    <w:rsid w:val="00251728"/>
    <w:rsid w:val="00252025"/>
    <w:rsid w:val="002529C0"/>
    <w:rsid w:val="00252C91"/>
    <w:rsid w:val="002559DA"/>
    <w:rsid w:val="00255BEB"/>
    <w:rsid w:val="0025670D"/>
    <w:rsid w:val="00256C17"/>
    <w:rsid w:val="00257BB5"/>
    <w:rsid w:val="00260DBB"/>
    <w:rsid w:val="00262CF2"/>
    <w:rsid w:val="00264309"/>
    <w:rsid w:val="00266DF5"/>
    <w:rsid w:val="0026701B"/>
    <w:rsid w:val="00271EF4"/>
    <w:rsid w:val="0027238D"/>
    <w:rsid w:val="00275F78"/>
    <w:rsid w:val="00276374"/>
    <w:rsid w:val="00276D30"/>
    <w:rsid w:val="00281544"/>
    <w:rsid w:val="00283C65"/>
    <w:rsid w:val="002867BD"/>
    <w:rsid w:val="00293F36"/>
    <w:rsid w:val="00294486"/>
    <w:rsid w:val="0029752D"/>
    <w:rsid w:val="00297A3C"/>
    <w:rsid w:val="002A1910"/>
    <w:rsid w:val="002A2185"/>
    <w:rsid w:val="002A4904"/>
    <w:rsid w:val="002A5F6F"/>
    <w:rsid w:val="002A6CFA"/>
    <w:rsid w:val="002B159C"/>
    <w:rsid w:val="002B3B7A"/>
    <w:rsid w:val="002B4311"/>
    <w:rsid w:val="002B467E"/>
    <w:rsid w:val="002B4BC1"/>
    <w:rsid w:val="002B6DCD"/>
    <w:rsid w:val="002B751D"/>
    <w:rsid w:val="002C0EB8"/>
    <w:rsid w:val="002C2226"/>
    <w:rsid w:val="002C35EF"/>
    <w:rsid w:val="002C3787"/>
    <w:rsid w:val="002C43F4"/>
    <w:rsid w:val="002C4E77"/>
    <w:rsid w:val="002C5503"/>
    <w:rsid w:val="002D0AC9"/>
    <w:rsid w:val="002D1C8D"/>
    <w:rsid w:val="002D4670"/>
    <w:rsid w:val="002D52F8"/>
    <w:rsid w:val="002D6D18"/>
    <w:rsid w:val="002D785A"/>
    <w:rsid w:val="002E066E"/>
    <w:rsid w:val="002E0E78"/>
    <w:rsid w:val="002E1D25"/>
    <w:rsid w:val="002E2680"/>
    <w:rsid w:val="002E3B02"/>
    <w:rsid w:val="002E4D73"/>
    <w:rsid w:val="002E60E4"/>
    <w:rsid w:val="002E61A3"/>
    <w:rsid w:val="002F073E"/>
    <w:rsid w:val="002F1B31"/>
    <w:rsid w:val="002F2886"/>
    <w:rsid w:val="002F350C"/>
    <w:rsid w:val="002F3701"/>
    <w:rsid w:val="002F6397"/>
    <w:rsid w:val="002F740D"/>
    <w:rsid w:val="003019EB"/>
    <w:rsid w:val="003026FE"/>
    <w:rsid w:val="00302B4F"/>
    <w:rsid w:val="00303BEC"/>
    <w:rsid w:val="00303FBF"/>
    <w:rsid w:val="003069F4"/>
    <w:rsid w:val="00306D60"/>
    <w:rsid w:val="003073AD"/>
    <w:rsid w:val="00312729"/>
    <w:rsid w:val="00312745"/>
    <w:rsid w:val="00320FD8"/>
    <w:rsid w:val="003227BE"/>
    <w:rsid w:val="00322A94"/>
    <w:rsid w:val="00322B26"/>
    <w:rsid w:val="0032318E"/>
    <w:rsid w:val="00330A0B"/>
    <w:rsid w:val="0033266E"/>
    <w:rsid w:val="00333B76"/>
    <w:rsid w:val="00334270"/>
    <w:rsid w:val="003407EC"/>
    <w:rsid w:val="00341155"/>
    <w:rsid w:val="003421DC"/>
    <w:rsid w:val="003454D8"/>
    <w:rsid w:val="00346C25"/>
    <w:rsid w:val="0034726A"/>
    <w:rsid w:val="00347A8F"/>
    <w:rsid w:val="00352025"/>
    <w:rsid w:val="00352388"/>
    <w:rsid w:val="00352BED"/>
    <w:rsid w:val="00353F7A"/>
    <w:rsid w:val="00353F96"/>
    <w:rsid w:val="00355AAF"/>
    <w:rsid w:val="003564CE"/>
    <w:rsid w:val="00356AFF"/>
    <w:rsid w:val="0035793A"/>
    <w:rsid w:val="00360218"/>
    <w:rsid w:val="00360301"/>
    <w:rsid w:val="0036077C"/>
    <w:rsid w:val="00361598"/>
    <w:rsid w:val="00363E20"/>
    <w:rsid w:val="00373893"/>
    <w:rsid w:val="003763AB"/>
    <w:rsid w:val="003771BA"/>
    <w:rsid w:val="00377FFA"/>
    <w:rsid w:val="00380D22"/>
    <w:rsid w:val="0038513C"/>
    <w:rsid w:val="003853AF"/>
    <w:rsid w:val="00386099"/>
    <w:rsid w:val="0038635D"/>
    <w:rsid w:val="00387AB4"/>
    <w:rsid w:val="003903DA"/>
    <w:rsid w:val="0039365E"/>
    <w:rsid w:val="003951C1"/>
    <w:rsid w:val="0039669D"/>
    <w:rsid w:val="003A298E"/>
    <w:rsid w:val="003A382D"/>
    <w:rsid w:val="003A52FC"/>
    <w:rsid w:val="003A6982"/>
    <w:rsid w:val="003A7C4E"/>
    <w:rsid w:val="003B1BB3"/>
    <w:rsid w:val="003B1FBF"/>
    <w:rsid w:val="003B2842"/>
    <w:rsid w:val="003B3BBB"/>
    <w:rsid w:val="003B3FDC"/>
    <w:rsid w:val="003B6268"/>
    <w:rsid w:val="003B7123"/>
    <w:rsid w:val="003C4348"/>
    <w:rsid w:val="003D0DFA"/>
    <w:rsid w:val="003D2842"/>
    <w:rsid w:val="003D2ED8"/>
    <w:rsid w:val="003D3DF0"/>
    <w:rsid w:val="003D46AB"/>
    <w:rsid w:val="003D5767"/>
    <w:rsid w:val="003D5B7A"/>
    <w:rsid w:val="003D6153"/>
    <w:rsid w:val="003D6CF1"/>
    <w:rsid w:val="003E37A6"/>
    <w:rsid w:val="003E4776"/>
    <w:rsid w:val="003E56E9"/>
    <w:rsid w:val="003E7128"/>
    <w:rsid w:val="003E7211"/>
    <w:rsid w:val="003E7E61"/>
    <w:rsid w:val="003E7EEE"/>
    <w:rsid w:val="003F2AF7"/>
    <w:rsid w:val="003F35F2"/>
    <w:rsid w:val="003F47FB"/>
    <w:rsid w:val="003F4BA9"/>
    <w:rsid w:val="003F5DCC"/>
    <w:rsid w:val="003F5F0D"/>
    <w:rsid w:val="003F6D2D"/>
    <w:rsid w:val="004002C5"/>
    <w:rsid w:val="00400EAE"/>
    <w:rsid w:val="00401D16"/>
    <w:rsid w:val="004027DE"/>
    <w:rsid w:val="004028F9"/>
    <w:rsid w:val="00403E9E"/>
    <w:rsid w:val="00407C34"/>
    <w:rsid w:val="00407DF4"/>
    <w:rsid w:val="00411B5D"/>
    <w:rsid w:val="00415CC3"/>
    <w:rsid w:val="00415F62"/>
    <w:rsid w:val="00416287"/>
    <w:rsid w:val="0041671F"/>
    <w:rsid w:val="00421224"/>
    <w:rsid w:val="0042131A"/>
    <w:rsid w:val="0042294A"/>
    <w:rsid w:val="00426133"/>
    <w:rsid w:val="004269AD"/>
    <w:rsid w:val="00432835"/>
    <w:rsid w:val="00437724"/>
    <w:rsid w:val="0043775D"/>
    <w:rsid w:val="0043781E"/>
    <w:rsid w:val="004414EB"/>
    <w:rsid w:val="00442400"/>
    <w:rsid w:val="0044435E"/>
    <w:rsid w:val="004444D4"/>
    <w:rsid w:val="0044458D"/>
    <w:rsid w:val="0044502E"/>
    <w:rsid w:val="0044515A"/>
    <w:rsid w:val="0044578C"/>
    <w:rsid w:val="0044723F"/>
    <w:rsid w:val="0044733A"/>
    <w:rsid w:val="00452261"/>
    <w:rsid w:val="0045362D"/>
    <w:rsid w:val="00460A48"/>
    <w:rsid w:val="00462B47"/>
    <w:rsid w:val="004630AD"/>
    <w:rsid w:val="004632B5"/>
    <w:rsid w:val="0046399B"/>
    <w:rsid w:val="00464F35"/>
    <w:rsid w:val="00465486"/>
    <w:rsid w:val="00474294"/>
    <w:rsid w:val="00476017"/>
    <w:rsid w:val="004772DE"/>
    <w:rsid w:val="004801D4"/>
    <w:rsid w:val="004805C4"/>
    <w:rsid w:val="00481E5D"/>
    <w:rsid w:val="0048389B"/>
    <w:rsid w:val="00483FB1"/>
    <w:rsid w:val="00485B77"/>
    <w:rsid w:val="0048626F"/>
    <w:rsid w:val="00491F9B"/>
    <w:rsid w:val="00496E3D"/>
    <w:rsid w:val="00496E66"/>
    <w:rsid w:val="00496FCA"/>
    <w:rsid w:val="004974F9"/>
    <w:rsid w:val="004A190C"/>
    <w:rsid w:val="004A1F28"/>
    <w:rsid w:val="004A3DD2"/>
    <w:rsid w:val="004A40E5"/>
    <w:rsid w:val="004A790E"/>
    <w:rsid w:val="004B3983"/>
    <w:rsid w:val="004B3A27"/>
    <w:rsid w:val="004B4871"/>
    <w:rsid w:val="004B7565"/>
    <w:rsid w:val="004C1DDC"/>
    <w:rsid w:val="004C2AB0"/>
    <w:rsid w:val="004C2EB7"/>
    <w:rsid w:val="004C52C0"/>
    <w:rsid w:val="004C6948"/>
    <w:rsid w:val="004C6D1F"/>
    <w:rsid w:val="004D2041"/>
    <w:rsid w:val="004D35B0"/>
    <w:rsid w:val="004D4896"/>
    <w:rsid w:val="004D6333"/>
    <w:rsid w:val="004D7D0D"/>
    <w:rsid w:val="004E2922"/>
    <w:rsid w:val="004E2B31"/>
    <w:rsid w:val="004E44E2"/>
    <w:rsid w:val="004E67E3"/>
    <w:rsid w:val="004E74B6"/>
    <w:rsid w:val="004F33E8"/>
    <w:rsid w:val="004F54BF"/>
    <w:rsid w:val="004F5533"/>
    <w:rsid w:val="004F5718"/>
    <w:rsid w:val="004F5AA3"/>
    <w:rsid w:val="004F5C08"/>
    <w:rsid w:val="004F6C77"/>
    <w:rsid w:val="005003F5"/>
    <w:rsid w:val="00500C4F"/>
    <w:rsid w:val="00501F61"/>
    <w:rsid w:val="005063BD"/>
    <w:rsid w:val="00506EC9"/>
    <w:rsid w:val="005110A7"/>
    <w:rsid w:val="005118BD"/>
    <w:rsid w:val="005202B1"/>
    <w:rsid w:val="005218DF"/>
    <w:rsid w:val="0052190C"/>
    <w:rsid w:val="0052279B"/>
    <w:rsid w:val="00523DD8"/>
    <w:rsid w:val="00524073"/>
    <w:rsid w:val="005254B4"/>
    <w:rsid w:val="00525676"/>
    <w:rsid w:val="005308B7"/>
    <w:rsid w:val="00531C25"/>
    <w:rsid w:val="0053410A"/>
    <w:rsid w:val="00534A6E"/>
    <w:rsid w:val="00536E2D"/>
    <w:rsid w:val="00537FAB"/>
    <w:rsid w:val="00542417"/>
    <w:rsid w:val="00553D97"/>
    <w:rsid w:val="00554549"/>
    <w:rsid w:val="005550C5"/>
    <w:rsid w:val="00555371"/>
    <w:rsid w:val="00560C4E"/>
    <w:rsid w:val="005641A7"/>
    <w:rsid w:val="005645AE"/>
    <w:rsid w:val="00565648"/>
    <w:rsid w:val="0056687E"/>
    <w:rsid w:val="00566E95"/>
    <w:rsid w:val="00571E03"/>
    <w:rsid w:val="005727AA"/>
    <w:rsid w:val="00573968"/>
    <w:rsid w:val="00574600"/>
    <w:rsid w:val="00575452"/>
    <w:rsid w:val="00576524"/>
    <w:rsid w:val="0057656C"/>
    <w:rsid w:val="00576D43"/>
    <w:rsid w:val="00580392"/>
    <w:rsid w:val="00582A67"/>
    <w:rsid w:val="00583BB2"/>
    <w:rsid w:val="00584717"/>
    <w:rsid w:val="00586D72"/>
    <w:rsid w:val="00586EC7"/>
    <w:rsid w:val="00590026"/>
    <w:rsid w:val="00591168"/>
    <w:rsid w:val="00592301"/>
    <w:rsid w:val="0059261E"/>
    <w:rsid w:val="00592B25"/>
    <w:rsid w:val="00594900"/>
    <w:rsid w:val="005979C0"/>
    <w:rsid w:val="005A314B"/>
    <w:rsid w:val="005A41B0"/>
    <w:rsid w:val="005A430C"/>
    <w:rsid w:val="005A4E46"/>
    <w:rsid w:val="005B06EE"/>
    <w:rsid w:val="005B0A31"/>
    <w:rsid w:val="005B2CC4"/>
    <w:rsid w:val="005B7191"/>
    <w:rsid w:val="005B7508"/>
    <w:rsid w:val="005B7ED2"/>
    <w:rsid w:val="005C05A7"/>
    <w:rsid w:val="005C0706"/>
    <w:rsid w:val="005C1F42"/>
    <w:rsid w:val="005C2371"/>
    <w:rsid w:val="005C47A3"/>
    <w:rsid w:val="005C4FBB"/>
    <w:rsid w:val="005C60EF"/>
    <w:rsid w:val="005C7089"/>
    <w:rsid w:val="005C75FE"/>
    <w:rsid w:val="005C7ED8"/>
    <w:rsid w:val="005C7EE5"/>
    <w:rsid w:val="005D07F1"/>
    <w:rsid w:val="005D1FD3"/>
    <w:rsid w:val="005D462E"/>
    <w:rsid w:val="005D4FF3"/>
    <w:rsid w:val="005D6EB7"/>
    <w:rsid w:val="005E1021"/>
    <w:rsid w:val="005E2247"/>
    <w:rsid w:val="005E33AE"/>
    <w:rsid w:val="005E6AA5"/>
    <w:rsid w:val="005E6E3E"/>
    <w:rsid w:val="005E74A5"/>
    <w:rsid w:val="005F0CFC"/>
    <w:rsid w:val="005F1D8A"/>
    <w:rsid w:val="005F418F"/>
    <w:rsid w:val="005F51F5"/>
    <w:rsid w:val="005F5ABB"/>
    <w:rsid w:val="005F5C73"/>
    <w:rsid w:val="005F5CED"/>
    <w:rsid w:val="005F5D6A"/>
    <w:rsid w:val="006002CB"/>
    <w:rsid w:val="00601090"/>
    <w:rsid w:val="00605727"/>
    <w:rsid w:val="006067C3"/>
    <w:rsid w:val="00616830"/>
    <w:rsid w:val="006175E7"/>
    <w:rsid w:val="00617612"/>
    <w:rsid w:val="006208E8"/>
    <w:rsid w:val="006243D3"/>
    <w:rsid w:val="00625EA4"/>
    <w:rsid w:val="0062754A"/>
    <w:rsid w:val="00627BEA"/>
    <w:rsid w:val="0063158E"/>
    <w:rsid w:val="00631A55"/>
    <w:rsid w:val="006330ED"/>
    <w:rsid w:val="006338BF"/>
    <w:rsid w:val="00633D7F"/>
    <w:rsid w:val="00635A78"/>
    <w:rsid w:val="00635F4C"/>
    <w:rsid w:val="00637D19"/>
    <w:rsid w:val="00644DBC"/>
    <w:rsid w:val="00650070"/>
    <w:rsid w:val="00652058"/>
    <w:rsid w:val="00652F3C"/>
    <w:rsid w:val="006562ED"/>
    <w:rsid w:val="006564E7"/>
    <w:rsid w:val="00657A35"/>
    <w:rsid w:val="00657A5A"/>
    <w:rsid w:val="0066171E"/>
    <w:rsid w:val="00661872"/>
    <w:rsid w:val="00662E32"/>
    <w:rsid w:val="00665D33"/>
    <w:rsid w:val="006669E5"/>
    <w:rsid w:val="006703FD"/>
    <w:rsid w:val="0067094E"/>
    <w:rsid w:val="00671701"/>
    <w:rsid w:val="00673509"/>
    <w:rsid w:val="00674F9A"/>
    <w:rsid w:val="00675594"/>
    <w:rsid w:val="00685BBC"/>
    <w:rsid w:val="006900B5"/>
    <w:rsid w:val="00690D3C"/>
    <w:rsid w:val="0069103D"/>
    <w:rsid w:val="00693508"/>
    <w:rsid w:val="00693764"/>
    <w:rsid w:val="00693A92"/>
    <w:rsid w:val="00694531"/>
    <w:rsid w:val="006A17D4"/>
    <w:rsid w:val="006A1F4A"/>
    <w:rsid w:val="006A20BC"/>
    <w:rsid w:val="006B04C0"/>
    <w:rsid w:val="006B0760"/>
    <w:rsid w:val="006B0D01"/>
    <w:rsid w:val="006B18A5"/>
    <w:rsid w:val="006B1CC3"/>
    <w:rsid w:val="006B1DF2"/>
    <w:rsid w:val="006B2617"/>
    <w:rsid w:val="006B3699"/>
    <w:rsid w:val="006B3D66"/>
    <w:rsid w:val="006B4BC3"/>
    <w:rsid w:val="006B719F"/>
    <w:rsid w:val="006C1DC8"/>
    <w:rsid w:val="006C56F4"/>
    <w:rsid w:val="006D0DE4"/>
    <w:rsid w:val="006D6982"/>
    <w:rsid w:val="006E27E0"/>
    <w:rsid w:val="006E462C"/>
    <w:rsid w:val="006E5A83"/>
    <w:rsid w:val="006E7F74"/>
    <w:rsid w:val="006F1847"/>
    <w:rsid w:val="006F1E20"/>
    <w:rsid w:val="006F1F01"/>
    <w:rsid w:val="006F2254"/>
    <w:rsid w:val="006F25B7"/>
    <w:rsid w:val="006F345D"/>
    <w:rsid w:val="00702766"/>
    <w:rsid w:val="007028B9"/>
    <w:rsid w:val="00705031"/>
    <w:rsid w:val="007075BC"/>
    <w:rsid w:val="00710D5A"/>
    <w:rsid w:val="00710EC6"/>
    <w:rsid w:val="00713CE1"/>
    <w:rsid w:val="00713E4C"/>
    <w:rsid w:val="00721982"/>
    <w:rsid w:val="00723E90"/>
    <w:rsid w:val="007244D7"/>
    <w:rsid w:val="0072502C"/>
    <w:rsid w:val="0073075B"/>
    <w:rsid w:val="00731341"/>
    <w:rsid w:val="00734970"/>
    <w:rsid w:val="00735123"/>
    <w:rsid w:val="0074013C"/>
    <w:rsid w:val="0074063E"/>
    <w:rsid w:val="00741E67"/>
    <w:rsid w:val="00743525"/>
    <w:rsid w:val="007436FA"/>
    <w:rsid w:val="00745CDA"/>
    <w:rsid w:val="00746383"/>
    <w:rsid w:val="00750F0B"/>
    <w:rsid w:val="00755F49"/>
    <w:rsid w:val="00757819"/>
    <w:rsid w:val="007613A8"/>
    <w:rsid w:val="00761AA6"/>
    <w:rsid w:val="00765066"/>
    <w:rsid w:val="00766401"/>
    <w:rsid w:val="00766D8D"/>
    <w:rsid w:val="00770151"/>
    <w:rsid w:val="00770BC8"/>
    <w:rsid w:val="007728C6"/>
    <w:rsid w:val="007740A7"/>
    <w:rsid w:val="00774606"/>
    <w:rsid w:val="00775153"/>
    <w:rsid w:val="00775C2C"/>
    <w:rsid w:val="00776297"/>
    <w:rsid w:val="007772C5"/>
    <w:rsid w:val="00777312"/>
    <w:rsid w:val="00782F83"/>
    <w:rsid w:val="00783646"/>
    <w:rsid w:val="00784A28"/>
    <w:rsid w:val="00786AB4"/>
    <w:rsid w:val="007877EC"/>
    <w:rsid w:val="007917FA"/>
    <w:rsid w:val="00791CEC"/>
    <w:rsid w:val="0079252D"/>
    <w:rsid w:val="0079272B"/>
    <w:rsid w:val="00795631"/>
    <w:rsid w:val="00795C22"/>
    <w:rsid w:val="00796E3C"/>
    <w:rsid w:val="00796F67"/>
    <w:rsid w:val="007A14FD"/>
    <w:rsid w:val="007A17E4"/>
    <w:rsid w:val="007A1DDA"/>
    <w:rsid w:val="007A23A4"/>
    <w:rsid w:val="007A3115"/>
    <w:rsid w:val="007A6A15"/>
    <w:rsid w:val="007A717F"/>
    <w:rsid w:val="007A7589"/>
    <w:rsid w:val="007A7CE9"/>
    <w:rsid w:val="007B1E0F"/>
    <w:rsid w:val="007B54D6"/>
    <w:rsid w:val="007B5541"/>
    <w:rsid w:val="007B5FA3"/>
    <w:rsid w:val="007B60DD"/>
    <w:rsid w:val="007C09C5"/>
    <w:rsid w:val="007C19CE"/>
    <w:rsid w:val="007C427E"/>
    <w:rsid w:val="007C686B"/>
    <w:rsid w:val="007C73EC"/>
    <w:rsid w:val="007D07BF"/>
    <w:rsid w:val="007D0B96"/>
    <w:rsid w:val="007D0C20"/>
    <w:rsid w:val="007D0D1D"/>
    <w:rsid w:val="007D3A72"/>
    <w:rsid w:val="007D5294"/>
    <w:rsid w:val="007D5A4C"/>
    <w:rsid w:val="007D6F2F"/>
    <w:rsid w:val="007E0C20"/>
    <w:rsid w:val="007E11FB"/>
    <w:rsid w:val="007E2EA0"/>
    <w:rsid w:val="007E3976"/>
    <w:rsid w:val="007E4BDE"/>
    <w:rsid w:val="007E5D19"/>
    <w:rsid w:val="007E7B1A"/>
    <w:rsid w:val="007F046B"/>
    <w:rsid w:val="007F0C8A"/>
    <w:rsid w:val="007F37B9"/>
    <w:rsid w:val="007F56AE"/>
    <w:rsid w:val="007F7238"/>
    <w:rsid w:val="00802F6D"/>
    <w:rsid w:val="0080459E"/>
    <w:rsid w:val="00806BFC"/>
    <w:rsid w:val="00807D21"/>
    <w:rsid w:val="00810151"/>
    <w:rsid w:val="0081145A"/>
    <w:rsid w:val="00812C8D"/>
    <w:rsid w:val="00813158"/>
    <w:rsid w:val="00814E80"/>
    <w:rsid w:val="00816D3F"/>
    <w:rsid w:val="00817EE1"/>
    <w:rsid w:val="00817F97"/>
    <w:rsid w:val="00820387"/>
    <w:rsid w:val="00822DEC"/>
    <w:rsid w:val="0082325F"/>
    <w:rsid w:val="008242F4"/>
    <w:rsid w:val="00826FC8"/>
    <w:rsid w:val="00827ECB"/>
    <w:rsid w:val="00830746"/>
    <w:rsid w:val="0083200D"/>
    <w:rsid w:val="00833938"/>
    <w:rsid w:val="00835376"/>
    <w:rsid w:val="00835AF5"/>
    <w:rsid w:val="00837D20"/>
    <w:rsid w:val="00840244"/>
    <w:rsid w:val="008403F9"/>
    <w:rsid w:val="00841382"/>
    <w:rsid w:val="0085069E"/>
    <w:rsid w:val="008516FF"/>
    <w:rsid w:val="008531B3"/>
    <w:rsid w:val="008536A1"/>
    <w:rsid w:val="00853AF2"/>
    <w:rsid w:val="008548C9"/>
    <w:rsid w:val="008568F2"/>
    <w:rsid w:val="00857AFF"/>
    <w:rsid w:val="0086290F"/>
    <w:rsid w:val="00863351"/>
    <w:rsid w:val="00864A9A"/>
    <w:rsid w:val="008667BE"/>
    <w:rsid w:val="008671AD"/>
    <w:rsid w:val="00867BA0"/>
    <w:rsid w:val="00867DCF"/>
    <w:rsid w:val="0087147B"/>
    <w:rsid w:val="00872ED0"/>
    <w:rsid w:val="0087325B"/>
    <w:rsid w:val="00875634"/>
    <w:rsid w:val="00875B51"/>
    <w:rsid w:val="0087679B"/>
    <w:rsid w:val="008769DD"/>
    <w:rsid w:val="00883CD7"/>
    <w:rsid w:val="0088506E"/>
    <w:rsid w:val="008868D7"/>
    <w:rsid w:val="008875DE"/>
    <w:rsid w:val="008912DE"/>
    <w:rsid w:val="00894AF1"/>
    <w:rsid w:val="0089503A"/>
    <w:rsid w:val="0089630C"/>
    <w:rsid w:val="008978A9"/>
    <w:rsid w:val="00897C52"/>
    <w:rsid w:val="008A07ED"/>
    <w:rsid w:val="008A1A26"/>
    <w:rsid w:val="008A2B99"/>
    <w:rsid w:val="008A50A7"/>
    <w:rsid w:val="008A6281"/>
    <w:rsid w:val="008B1A4F"/>
    <w:rsid w:val="008B369C"/>
    <w:rsid w:val="008B4AF6"/>
    <w:rsid w:val="008B516A"/>
    <w:rsid w:val="008C71FC"/>
    <w:rsid w:val="008D04EA"/>
    <w:rsid w:val="008D086E"/>
    <w:rsid w:val="008D1165"/>
    <w:rsid w:val="008D4491"/>
    <w:rsid w:val="008D66FB"/>
    <w:rsid w:val="008E0BE5"/>
    <w:rsid w:val="008E14EF"/>
    <w:rsid w:val="008E1C7E"/>
    <w:rsid w:val="008E332C"/>
    <w:rsid w:val="008E7F73"/>
    <w:rsid w:val="008F192A"/>
    <w:rsid w:val="008F73E8"/>
    <w:rsid w:val="008F77A2"/>
    <w:rsid w:val="0090079C"/>
    <w:rsid w:val="0090158E"/>
    <w:rsid w:val="00901A64"/>
    <w:rsid w:val="009024A0"/>
    <w:rsid w:val="00902C4F"/>
    <w:rsid w:val="009033A2"/>
    <w:rsid w:val="00903496"/>
    <w:rsid w:val="00907D78"/>
    <w:rsid w:val="00910751"/>
    <w:rsid w:val="00910AC8"/>
    <w:rsid w:val="00911D4C"/>
    <w:rsid w:val="00913A31"/>
    <w:rsid w:val="009155E3"/>
    <w:rsid w:val="00917E00"/>
    <w:rsid w:val="00923C3A"/>
    <w:rsid w:val="00923CFE"/>
    <w:rsid w:val="0092576B"/>
    <w:rsid w:val="00927181"/>
    <w:rsid w:val="00932F24"/>
    <w:rsid w:val="0093711A"/>
    <w:rsid w:val="00941361"/>
    <w:rsid w:val="00941909"/>
    <w:rsid w:val="00942469"/>
    <w:rsid w:val="00944999"/>
    <w:rsid w:val="009460B4"/>
    <w:rsid w:val="00946D77"/>
    <w:rsid w:val="00947C52"/>
    <w:rsid w:val="009557BD"/>
    <w:rsid w:val="00956C17"/>
    <w:rsid w:val="00956E26"/>
    <w:rsid w:val="00957BEC"/>
    <w:rsid w:val="00963EEC"/>
    <w:rsid w:val="00966DB3"/>
    <w:rsid w:val="009679E6"/>
    <w:rsid w:val="00972516"/>
    <w:rsid w:val="00973189"/>
    <w:rsid w:val="0097480A"/>
    <w:rsid w:val="009748EE"/>
    <w:rsid w:val="00977465"/>
    <w:rsid w:val="0098015F"/>
    <w:rsid w:val="009809A2"/>
    <w:rsid w:val="00981433"/>
    <w:rsid w:val="00981668"/>
    <w:rsid w:val="00981B27"/>
    <w:rsid w:val="00981D37"/>
    <w:rsid w:val="00984E85"/>
    <w:rsid w:val="009855AA"/>
    <w:rsid w:val="009855AE"/>
    <w:rsid w:val="009859B3"/>
    <w:rsid w:val="009860F6"/>
    <w:rsid w:val="009863FC"/>
    <w:rsid w:val="009877E6"/>
    <w:rsid w:val="00991B42"/>
    <w:rsid w:val="009959ED"/>
    <w:rsid w:val="0099635C"/>
    <w:rsid w:val="009A10BE"/>
    <w:rsid w:val="009A29B4"/>
    <w:rsid w:val="009A3116"/>
    <w:rsid w:val="009A474A"/>
    <w:rsid w:val="009B1496"/>
    <w:rsid w:val="009B2644"/>
    <w:rsid w:val="009B2B4C"/>
    <w:rsid w:val="009B690A"/>
    <w:rsid w:val="009C1B4F"/>
    <w:rsid w:val="009C24A1"/>
    <w:rsid w:val="009C4727"/>
    <w:rsid w:val="009C6439"/>
    <w:rsid w:val="009C6C33"/>
    <w:rsid w:val="009D1A47"/>
    <w:rsid w:val="009D5FCE"/>
    <w:rsid w:val="009D77A2"/>
    <w:rsid w:val="009D7D91"/>
    <w:rsid w:val="009E18A5"/>
    <w:rsid w:val="009E3067"/>
    <w:rsid w:val="009E3F14"/>
    <w:rsid w:val="009E5B57"/>
    <w:rsid w:val="009E6100"/>
    <w:rsid w:val="009E676B"/>
    <w:rsid w:val="009F1980"/>
    <w:rsid w:val="009F278F"/>
    <w:rsid w:val="009F6C5D"/>
    <w:rsid w:val="00A000D8"/>
    <w:rsid w:val="00A0201F"/>
    <w:rsid w:val="00A02490"/>
    <w:rsid w:val="00A02DDB"/>
    <w:rsid w:val="00A03D42"/>
    <w:rsid w:val="00A04024"/>
    <w:rsid w:val="00A041D0"/>
    <w:rsid w:val="00A05799"/>
    <w:rsid w:val="00A05C7F"/>
    <w:rsid w:val="00A100A9"/>
    <w:rsid w:val="00A11E5A"/>
    <w:rsid w:val="00A140F9"/>
    <w:rsid w:val="00A16843"/>
    <w:rsid w:val="00A16E39"/>
    <w:rsid w:val="00A17923"/>
    <w:rsid w:val="00A20DEB"/>
    <w:rsid w:val="00A21E22"/>
    <w:rsid w:val="00A22876"/>
    <w:rsid w:val="00A25155"/>
    <w:rsid w:val="00A26A3B"/>
    <w:rsid w:val="00A271F9"/>
    <w:rsid w:val="00A2723B"/>
    <w:rsid w:val="00A31365"/>
    <w:rsid w:val="00A32326"/>
    <w:rsid w:val="00A368B4"/>
    <w:rsid w:val="00A36F2F"/>
    <w:rsid w:val="00A404DA"/>
    <w:rsid w:val="00A40732"/>
    <w:rsid w:val="00A46526"/>
    <w:rsid w:val="00A46F6B"/>
    <w:rsid w:val="00A47C36"/>
    <w:rsid w:val="00A47EBE"/>
    <w:rsid w:val="00A54783"/>
    <w:rsid w:val="00A55180"/>
    <w:rsid w:val="00A5550D"/>
    <w:rsid w:val="00A56327"/>
    <w:rsid w:val="00A57EE7"/>
    <w:rsid w:val="00A619B4"/>
    <w:rsid w:val="00A61B97"/>
    <w:rsid w:val="00A62298"/>
    <w:rsid w:val="00A628D2"/>
    <w:rsid w:val="00A634A7"/>
    <w:rsid w:val="00A71AF7"/>
    <w:rsid w:val="00A73444"/>
    <w:rsid w:val="00A73C4B"/>
    <w:rsid w:val="00A74CBF"/>
    <w:rsid w:val="00A75795"/>
    <w:rsid w:val="00A75874"/>
    <w:rsid w:val="00A75F43"/>
    <w:rsid w:val="00A778C3"/>
    <w:rsid w:val="00A80A33"/>
    <w:rsid w:val="00A81DB3"/>
    <w:rsid w:val="00A8275A"/>
    <w:rsid w:val="00A82926"/>
    <w:rsid w:val="00A85837"/>
    <w:rsid w:val="00A85940"/>
    <w:rsid w:val="00A85B33"/>
    <w:rsid w:val="00A90AEB"/>
    <w:rsid w:val="00A9134E"/>
    <w:rsid w:val="00A915F4"/>
    <w:rsid w:val="00A92C8F"/>
    <w:rsid w:val="00A9618F"/>
    <w:rsid w:val="00AA0FE1"/>
    <w:rsid w:val="00AA2CE1"/>
    <w:rsid w:val="00AA3412"/>
    <w:rsid w:val="00AA381E"/>
    <w:rsid w:val="00AA5E2B"/>
    <w:rsid w:val="00AB5C8F"/>
    <w:rsid w:val="00AB6F23"/>
    <w:rsid w:val="00AB754F"/>
    <w:rsid w:val="00AB7E85"/>
    <w:rsid w:val="00AB7EB4"/>
    <w:rsid w:val="00AC30B8"/>
    <w:rsid w:val="00AC3987"/>
    <w:rsid w:val="00AC46B6"/>
    <w:rsid w:val="00AC51BF"/>
    <w:rsid w:val="00AD05CC"/>
    <w:rsid w:val="00AD0C04"/>
    <w:rsid w:val="00AD14B6"/>
    <w:rsid w:val="00AD268C"/>
    <w:rsid w:val="00AD3BB4"/>
    <w:rsid w:val="00AD6CF6"/>
    <w:rsid w:val="00AE0AB9"/>
    <w:rsid w:val="00AE1397"/>
    <w:rsid w:val="00AE24C0"/>
    <w:rsid w:val="00AE31FF"/>
    <w:rsid w:val="00AE41A6"/>
    <w:rsid w:val="00AE6615"/>
    <w:rsid w:val="00AE66B6"/>
    <w:rsid w:val="00AE6801"/>
    <w:rsid w:val="00AF13C0"/>
    <w:rsid w:val="00AF4F5D"/>
    <w:rsid w:val="00AF5F3E"/>
    <w:rsid w:val="00AF7AA0"/>
    <w:rsid w:val="00AF7BA1"/>
    <w:rsid w:val="00AF7F88"/>
    <w:rsid w:val="00B0182F"/>
    <w:rsid w:val="00B02E32"/>
    <w:rsid w:val="00B04BFB"/>
    <w:rsid w:val="00B0575A"/>
    <w:rsid w:val="00B06287"/>
    <w:rsid w:val="00B07094"/>
    <w:rsid w:val="00B07348"/>
    <w:rsid w:val="00B108D6"/>
    <w:rsid w:val="00B12E10"/>
    <w:rsid w:val="00B1342D"/>
    <w:rsid w:val="00B14117"/>
    <w:rsid w:val="00B22F7D"/>
    <w:rsid w:val="00B25050"/>
    <w:rsid w:val="00B30C53"/>
    <w:rsid w:val="00B31958"/>
    <w:rsid w:val="00B33BF0"/>
    <w:rsid w:val="00B34D71"/>
    <w:rsid w:val="00B35EAE"/>
    <w:rsid w:val="00B403CB"/>
    <w:rsid w:val="00B44092"/>
    <w:rsid w:val="00B46029"/>
    <w:rsid w:val="00B476BC"/>
    <w:rsid w:val="00B50066"/>
    <w:rsid w:val="00B506FB"/>
    <w:rsid w:val="00B520B9"/>
    <w:rsid w:val="00B53573"/>
    <w:rsid w:val="00B55D80"/>
    <w:rsid w:val="00B56639"/>
    <w:rsid w:val="00B56891"/>
    <w:rsid w:val="00B56899"/>
    <w:rsid w:val="00B57CE6"/>
    <w:rsid w:val="00B6042C"/>
    <w:rsid w:val="00B61AB7"/>
    <w:rsid w:val="00B636F3"/>
    <w:rsid w:val="00B66795"/>
    <w:rsid w:val="00B731D5"/>
    <w:rsid w:val="00B7327D"/>
    <w:rsid w:val="00B7411C"/>
    <w:rsid w:val="00B757EC"/>
    <w:rsid w:val="00B75F7D"/>
    <w:rsid w:val="00B8272A"/>
    <w:rsid w:val="00B83EC5"/>
    <w:rsid w:val="00B859BA"/>
    <w:rsid w:val="00B870B5"/>
    <w:rsid w:val="00B873FE"/>
    <w:rsid w:val="00B96375"/>
    <w:rsid w:val="00BA1F01"/>
    <w:rsid w:val="00BA22A2"/>
    <w:rsid w:val="00BA231B"/>
    <w:rsid w:val="00BA4122"/>
    <w:rsid w:val="00BA4124"/>
    <w:rsid w:val="00BA6072"/>
    <w:rsid w:val="00BB2653"/>
    <w:rsid w:val="00BB2A6D"/>
    <w:rsid w:val="00BB4B28"/>
    <w:rsid w:val="00BB5BC0"/>
    <w:rsid w:val="00BB7365"/>
    <w:rsid w:val="00BC0F44"/>
    <w:rsid w:val="00BC3009"/>
    <w:rsid w:val="00BC30C6"/>
    <w:rsid w:val="00BC4311"/>
    <w:rsid w:val="00BC444E"/>
    <w:rsid w:val="00BC44DB"/>
    <w:rsid w:val="00BC48F9"/>
    <w:rsid w:val="00BC4F9F"/>
    <w:rsid w:val="00BC5E31"/>
    <w:rsid w:val="00BC6D4B"/>
    <w:rsid w:val="00BD0DAC"/>
    <w:rsid w:val="00BD33C8"/>
    <w:rsid w:val="00BD59CD"/>
    <w:rsid w:val="00BD5A9F"/>
    <w:rsid w:val="00BD78E1"/>
    <w:rsid w:val="00BE2CD4"/>
    <w:rsid w:val="00BF1EA6"/>
    <w:rsid w:val="00BF1F97"/>
    <w:rsid w:val="00BF22AB"/>
    <w:rsid w:val="00BF29A6"/>
    <w:rsid w:val="00BF3280"/>
    <w:rsid w:val="00BF58B3"/>
    <w:rsid w:val="00BF786A"/>
    <w:rsid w:val="00C031C0"/>
    <w:rsid w:val="00C03B95"/>
    <w:rsid w:val="00C05D9D"/>
    <w:rsid w:val="00C0682C"/>
    <w:rsid w:val="00C06F0D"/>
    <w:rsid w:val="00C0752F"/>
    <w:rsid w:val="00C075C0"/>
    <w:rsid w:val="00C07C89"/>
    <w:rsid w:val="00C124A3"/>
    <w:rsid w:val="00C13217"/>
    <w:rsid w:val="00C15122"/>
    <w:rsid w:val="00C16900"/>
    <w:rsid w:val="00C2264A"/>
    <w:rsid w:val="00C23E5E"/>
    <w:rsid w:val="00C24A03"/>
    <w:rsid w:val="00C24AEC"/>
    <w:rsid w:val="00C24E4F"/>
    <w:rsid w:val="00C31B21"/>
    <w:rsid w:val="00C37D0A"/>
    <w:rsid w:val="00C41AA9"/>
    <w:rsid w:val="00C44E34"/>
    <w:rsid w:val="00C4681C"/>
    <w:rsid w:val="00C46EA4"/>
    <w:rsid w:val="00C51A6F"/>
    <w:rsid w:val="00C5471C"/>
    <w:rsid w:val="00C55365"/>
    <w:rsid w:val="00C56552"/>
    <w:rsid w:val="00C57289"/>
    <w:rsid w:val="00C6157A"/>
    <w:rsid w:val="00C62750"/>
    <w:rsid w:val="00C62AE7"/>
    <w:rsid w:val="00C67D36"/>
    <w:rsid w:val="00C7150B"/>
    <w:rsid w:val="00C72448"/>
    <w:rsid w:val="00C72B27"/>
    <w:rsid w:val="00C7511B"/>
    <w:rsid w:val="00C80BF6"/>
    <w:rsid w:val="00C81ECA"/>
    <w:rsid w:val="00C830B1"/>
    <w:rsid w:val="00C84FB4"/>
    <w:rsid w:val="00C87E7E"/>
    <w:rsid w:val="00C91ACB"/>
    <w:rsid w:val="00C94673"/>
    <w:rsid w:val="00C94F43"/>
    <w:rsid w:val="00CA1D7D"/>
    <w:rsid w:val="00CA2822"/>
    <w:rsid w:val="00CA3D66"/>
    <w:rsid w:val="00CA70B6"/>
    <w:rsid w:val="00CB1482"/>
    <w:rsid w:val="00CB1FDF"/>
    <w:rsid w:val="00CB4BC1"/>
    <w:rsid w:val="00CB5919"/>
    <w:rsid w:val="00CC2FAB"/>
    <w:rsid w:val="00CC3FFC"/>
    <w:rsid w:val="00CC53BA"/>
    <w:rsid w:val="00CC6C12"/>
    <w:rsid w:val="00CD07A8"/>
    <w:rsid w:val="00CD5ABF"/>
    <w:rsid w:val="00CD7154"/>
    <w:rsid w:val="00CE1880"/>
    <w:rsid w:val="00CE2544"/>
    <w:rsid w:val="00CE2A59"/>
    <w:rsid w:val="00CE2E8F"/>
    <w:rsid w:val="00CE33AF"/>
    <w:rsid w:val="00CE4189"/>
    <w:rsid w:val="00CE7869"/>
    <w:rsid w:val="00CE7F14"/>
    <w:rsid w:val="00CF1928"/>
    <w:rsid w:val="00CF27EC"/>
    <w:rsid w:val="00CF404A"/>
    <w:rsid w:val="00CF4B2F"/>
    <w:rsid w:val="00CF5285"/>
    <w:rsid w:val="00CF79A0"/>
    <w:rsid w:val="00D00952"/>
    <w:rsid w:val="00D00ED3"/>
    <w:rsid w:val="00D01855"/>
    <w:rsid w:val="00D0317D"/>
    <w:rsid w:val="00D03294"/>
    <w:rsid w:val="00D074BB"/>
    <w:rsid w:val="00D124D4"/>
    <w:rsid w:val="00D12C7C"/>
    <w:rsid w:val="00D13FE6"/>
    <w:rsid w:val="00D16C16"/>
    <w:rsid w:val="00D201EF"/>
    <w:rsid w:val="00D20779"/>
    <w:rsid w:val="00D25EBF"/>
    <w:rsid w:val="00D313E7"/>
    <w:rsid w:val="00D343F3"/>
    <w:rsid w:val="00D344D4"/>
    <w:rsid w:val="00D34A24"/>
    <w:rsid w:val="00D356FC"/>
    <w:rsid w:val="00D403C9"/>
    <w:rsid w:val="00D40D8F"/>
    <w:rsid w:val="00D412F0"/>
    <w:rsid w:val="00D41461"/>
    <w:rsid w:val="00D41983"/>
    <w:rsid w:val="00D44BBE"/>
    <w:rsid w:val="00D459A9"/>
    <w:rsid w:val="00D505D8"/>
    <w:rsid w:val="00D51AC2"/>
    <w:rsid w:val="00D54682"/>
    <w:rsid w:val="00D54AFE"/>
    <w:rsid w:val="00D57F7E"/>
    <w:rsid w:val="00D60806"/>
    <w:rsid w:val="00D624DA"/>
    <w:rsid w:val="00D62C72"/>
    <w:rsid w:val="00D634E0"/>
    <w:rsid w:val="00D63988"/>
    <w:rsid w:val="00D66E28"/>
    <w:rsid w:val="00D72D1A"/>
    <w:rsid w:val="00D7707A"/>
    <w:rsid w:val="00D804DB"/>
    <w:rsid w:val="00D808E4"/>
    <w:rsid w:val="00D824FB"/>
    <w:rsid w:val="00D85C32"/>
    <w:rsid w:val="00D87991"/>
    <w:rsid w:val="00D87DEC"/>
    <w:rsid w:val="00D92A24"/>
    <w:rsid w:val="00D92EB3"/>
    <w:rsid w:val="00D93FCB"/>
    <w:rsid w:val="00D9464F"/>
    <w:rsid w:val="00D969CE"/>
    <w:rsid w:val="00D96A25"/>
    <w:rsid w:val="00DA08DD"/>
    <w:rsid w:val="00DA1F23"/>
    <w:rsid w:val="00DA37E9"/>
    <w:rsid w:val="00DA453F"/>
    <w:rsid w:val="00DA55C2"/>
    <w:rsid w:val="00DA6C3A"/>
    <w:rsid w:val="00DB0432"/>
    <w:rsid w:val="00DB0984"/>
    <w:rsid w:val="00DB0FC1"/>
    <w:rsid w:val="00DB1004"/>
    <w:rsid w:val="00DB1602"/>
    <w:rsid w:val="00DB1A33"/>
    <w:rsid w:val="00DB2132"/>
    <w:rsid w:val="00DB23A8"/>
    <w:rsid w:val="00DB2434"/>
    <w:rsid w:val="00DB3FD1"/>
    <w:rsid w:val="00DB53C5"/>
    <w:rsid w:val="00DB5FA7"/>
    <w:rsid w:val="00DB64F4"/>
    <w:rsid w:val="00DB6B85"/>
    <w:rsid w:val="00DB715D"/>
    <w:rsid w:val="00DC0901"/>
    <w:rsid w:val="00DC14AA"/>
    <w:rsid w:val="00DC5D8A"/>
    <w:rsid w:val="00DC7B1C"/>
    <w:rsid w:val="00DD000E"/>
    <w:rsid w:val="00DD049D"/>
    <w:rsid w:val="00DD1B3C"/>
    <w:rsid w:val="00DD2B08"/>
    <w:rsid w:val="00DE038B"/>
    <w:rsid w:val="00DE04C2"/>
    <w:rsid w:val="00DE0B1E"/>
    <w:rsid w:val="00DE341F"/>
    <w:rsid w:val="00DF03E5"/>
    <w:rsid w:val="00DF0E01"/>
    <w:rsid w:val="00DF5CCA"/>
    <w:rsid w:val="00DF5E2A"/>
    <w:rsid w:val="00E03608"/>
    <w:rsid w:val="00E03B14"/>
    <w:rsid w:val="00E071C3"/>
    <w:rsid w:val="00E074F8"/>
    <w:rsid w:val="00E079A2"/>
    <w:rsid w:val="00E1088B"/>
    <w:rsid w:val="00E1127F"/>
    <w:rsid w:val="00E11D1B"/>
    <w:rsid w:val="00E162A9"/>
    <w:rsid w:val="00E200EC"/>
    <w:rsid w:val="00E20BBA"/>
    <w:rsid w:val="00E23763"/>
    <w:rsid w:val="00E2436A"/>
    <w:rsid w:val="00E24C01"/>
    <w:rsid w:val="00E25074"/>
    <w:rsid w:val="00E262CD"/>
    <w:rsid w:val="00E270A4"/>
    <w:rsid w:val="00E31CB8"/>
    <w:rsid w:val="00E36EF8"/>
    <w:rsid w:val="00E42438"/>
    <w:rsid w:val="00E44187"/>
    <w:rsid w:val="00E442D5"/>
    <w:rsid w:val="00E4477E"/>
    <w:rsid w:val="00E44A94"/>
    <w:rsid w:val="00E4561B"/>
    <w:rsid w:val="00E473AD"/>
    <w:rsid w:val="00E50632"/>
    <w:rsid w:val="00E5497B"/>
    <w:rsid w:val="00E5517F"/>
    <w:rsid w:val="00E60031"/>
    <w:rsid w:val="00E6039A"/>
    <w:rsid w:val="00E63B40"/>
    <w:rsid w:val="00E6400F"/>
    <w:rsid w:val="00E67420"/>
    <w:rsid w:val="00E70557"/>
    <w:rsid w:val="00E7076C"/>
    <w:rsid w:val="00E70E05"/>
    <w:rsid w:val="00E72190"/>
    <w:rsid w:val="00E73D20"/>
    <w:rsid w:val="00E73FFF"/>
    <w:rsid w:val="00E75B1A"/>
    <w:rsid w:val="00E76D80"/>
    <w:rsid w:val="00E80CF7"/>
    <w:rsid w:val="00E82977"/>
    <w:rsid w:val="00E8336D"/>
    <w:rsid w:val="00E83555"/>
    <w:rsid w:val="00E85229"/>
    <w:rsid w:val="00E858FB"/>
    <w:rsid w:val="00E86916"/>
    <w:rsid w:val="00E87367"/>
    <w:rsid w:val="00E90A70"/>
    <w:rsid w:val="00E91E82"/>
    <w:rsid w:val="00E926F7"/>
    <w:rsid w:val="00E926FA"/>
    <w:rsid w:val="00E92842"/>
    <w:rsid w:val="00E93E28"/>
    <w:rsid w:val="00E94532"/>
    <w:rsid w:val="00E94842"/>
    <w:rsid w:val="00E95B6C"/>
    <w:rsid w:val="00EA0EC7"/>
    <w:rsid w:val="00EA1736"/>
    <w:rsid w:val="00EA2BC1"/>
    <w:rsid w:val="00EB0172"/>
    <w:rsid w:val="00EB1580"/>
    <w:rsid w:val="00EB2D8C"/>
    <w:rsid w:val="00EB31D2"/>
    <w:rsid w:val="00EB39DB"/>
    <w:rsid w:val="00EB4978"/>
    <w:rsid w:val="00EB61EF"/>
    <w:rsid w:val="00EC14AE"/>
    <w:rsid w:val="00EC2C4C"/>
    <w:rsid w:val="00EC37F8"/>
    <w:rsid w:val="00EC4551"/>
    <w:rsid w:val="00EC727F"/>
    <w:rsid w:val="00ED09FB"/>
    <w:rsid w:val="00ED11FC"/>
    <w:rsid w:val="00ED1FC1"/>
    <w:rsid w:val="00ED28F3"/>
    <w:rsid w:val="00ED3090"/>
    <w:rsid w:val="00ED337A"/>
    <w:rsid w:val="00ED3429"/>
    <w:rsid w:val="00ED39AC"/>
    <w:rsid w:val="00ED3E21"/>
    <w:rsid w:val="00ED509C"/>
    <w:rsid w:val="00EE0F86"/>
    <w:rsid w:val="00EE240C"/>
    <w:rsid w:val="00EE25B8"/>
    <w:rsid w:val="00EE305D"/>
    <w:rsid w:val="00EE35A5"/>
    <w:rsid w:val="00EE5756"/>
    <w:rsid w:val="00EE6DD2"/>
    <w:rsid w:val="00EF01EC"/>
    <w:rsid w:val="00EF228C"/>
    <w:rsid w:val="00EF2FDD"/>
    <w:rsid w:val="00EF3331"/>
    <w:rsid w:val="00EF3531"/>
    <w:rsid w:val="00EF5413"/>
    <w:rsid w:val="00EF681D"/>
    <w:rsid w:val="00EF6A91"/>
    <w:rsid w:val="00EF7E21"/>
    <w:rsid w:val="00F00DC9"/>
    <w:rsid w:val="00F0279C"/>
    <w:rsid w:val="00F07C59"/>
    <w:rsid w:val="00F12921"/>
    <w:rsid w:val="00F13CFF"/>
    <w:rsid w:val="00F17139"/>
    <w:rsid w:val="00F17B1D"/>
    <w:rsid w:val="00F23A99"/>
    <w:rsid w:val="00F23E45"/>
    <w:rsid w:val="00F243E0"/>
    <w:rsid w:val="00F252FA"/>
    <w:rsid w:val="00F27541"/>
    <w:rsid w:val="00F27982"/>
    <w:rsid w:val="00F31B2D"/>
    <w:rsid w:val="00F329B0"/>
    <w:rsid w:val="00F32D85"/>
    <w:rsid w:val="00F34463"/>
    <w:rsid w:val="00F36CAD"/>
    <w:rsid w:val="00F3794B"/>
    <w:rsid w:val="00F37D6B"/>
    <w:rsid w:val="00F40C12"/>
    <w:rsid w:val="00F41BD3"/>
    <w:rsid w:val="00F42E6D"/>
    <w:rsid w:val="00F4341A"/>
    <w:rsid w:val="00F4364C"/>
    <w:rsid w:val="00F46850"/>
    <w:rsid w:val="00F472D3"/>
    <w:rsid w:val="00F47498"/>
    <w:rsid w:val="00F51098"/>
    <w:rsid w:val="00F528A8"/>
    <w:rsid w:val="00F546FF"/>
    <w:rsid w:val="00F54C8F"/>
    <w:rsid w:val="00F60536"/>
    <w:rsid w:val="00F645AC"/>
    <w:rsid w:val="00F64713"/>
    <w:rsid w:val="00F64E0C"/>
    <w:rsid w:val="00F64FD7"/>
    <w:rsid w:val="00F657A8"/>
    <w:rsid w:val="00F71CC8"/>
    <w:rsid w:val="00F725E5"/>
    <w:rsid w:val="00F74B6A"/>
    <w:rsid w:val="00F768FE"/>
    <w:rsid w:val="00F77A0C"/>
    <w:rsid w:val="00F80DC1"/>
    <w:rsid w:val="00F84829"/>
    <w:rsid w:val="00F866C2"/>
    <w:rsid w:val="00F94482"/>
    <w:rsid w:val="00F94E96"/>
    <w:rsid w:val="00F958CC"/>
    <w:rsid w:val="00F96A4F"/>
    <w:rsid w:val="00FA0013"/>
    <w:rsid w:val="00FA04D3"/>
    <w:rsid w:val="00FA1B32"/>
    <w:rsid w:val="00FA373C"/>
    <w:rsid w:val="00FA42CD"/>
    <w:rsid w:val="00FB27BD"/>
    <w:rsid w:val="00FB428D"/>
    <w:rsid w:val="00FB60C0"/>
    <w:rsid w:val="00FB701E"/>
    <w:rsid w:val="00FC18D8"/>
    <w:rsid w:val="00FC54B8"/>
    <w:rsid w:val="00FC6282"/>
    <w:rsid w:val="00FD4A14"/>
    <w:rsid w:val="00FD51E7"/>
    <w:rsid w:val="00FD5FDA"/>
    <w:rsid w:val="00FD67C9"/>
    <w:rsid w:val="00FD6F97"/>
    <w:rsid w:val="00FE0DE1"/>
    <w:rsid w:val="00FE2A48"/>
    <w:rsid w:val="00FE472C"/>
    <w:rsid w:val="00FE48A5"/>
    <w:rsid w:val="00FE4950"/>
    <w:rsid w:val="00FF5D4C"/>
    <w:rsid w:val="00FF6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883A7"/>
  <w14:defaultImageDpi w14:val="300"/>
  <w15:docId w15:val="{4CEBD42C-2BB4-9C43-86F9-87CC78C5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58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B1580"/>
    <w:rPr>
      <w:color w:val="0000FF"/>
      <w:u w:val="single"/>
    </w:rPr>
  </w:style>
  <w:style w:type="paragraph" w:styleId="Footer">
    <w:name w:val="footer"/>
    <w:basedOn w:val="Normal"/>
    <w:link w:val="FooterChar"/>
    <w:uiPriority w:val="99"/>
    <w:unhideWhenUsed/>
    <w:rsid w:val="00EB1580"/>
    <w:pPr>
      <w:tabs>
        <w:tab w:val="center" w:pos="4320"/>
        <w:tab w:val="right" w:pos="8640"/>
      </w:tabs>
    </w:pPr>
  </w:style>
  <w:style w:type="character" w:customStyle="1" w:styleId="FooterChar">
    <w:name w:val="Footer Char"/>
    <w:basedOn w:val="DefaultParagraphFont"/>
    <w:link w:val="Footer"/>
    <w:uiPriority w:val="99"/>
    <w:rsid w:val="00EB1580"/>
  </w:style>
  <w:style w:type="paragraph" w:styleId="Header">
    <w:name w:val="header"/>
    <w:basedOn w:val="Normal"/>
    <w:link w:val="HeaderChar"/>
    <w:uiPriority w:val="99"/>
    <w:unhideWhenUsed/>
    <w:rsid w:val="00EB1580"/>
    <w:pPr>
      <w:tabs>
        <w:tab w:val="center" w:pos="4320"/>
        <w:tab w:val="right" w:pos="8640"/>
      </w:tabs>
    </w:pPr>
  </w:style>
  <w:style w:type="character" w:customStyle="1" w:styleId="HeaderChar">
    <w:name w:val="Header Char"/>
    <w:basedOn w:val="DefaultParagraphFont"/>
    <w:link w:val="Header"/>
    <w:uiPriority w:val="99"/>
    <w:rsid w:val="00EB1580"/>
  </w:style>
  <w:style w:type="character" w:styleId="CommentReference">
    <w:name w:val="annotation reference"/>
    <w:basedOn w:val="DefaultParagraphFont"/>
    <w:uiPriority w:val="99"/>
    <w:semiHidden/>
    <w:unhideWhenUsed/>
    <w:rsid w:val="002D1C8D"/>
    <w:rPr>
      <w:sz w:val="16"/>
      <w:szCs w:val="16"/>
    </w:rPr>
  </w:style>
  <w:style w:type="paragraph" w:styleId="CommentText">
    <w:name w:val="annotation text"/>
    <w:basedOn w:val="Normal"/>
    <w:link w:val="CommentTextChar"/>
    <w:uiPriority w:val="99"/>
    <w:semiHidden/>
    <w:unhideWhenUsed/>
    <w:rsid w:val="002D1C8D"/>
    <w:rPr>
      <w:sz w:val="20"/>
      <w:szCs w:val="20"/>
    </w:rPr>
  </w:style>
  <w:style w:type="character" w:customStyle="1" w:styleId="CommentTextChar">
    <w:name w:val="Comment Text Char"/>
    <w:basedOn w:val="DefaultParagraphFont"/>
    <w:link w:val="CommentText"/>
    <w:uiPriority w:val="99"/>
    <w:semiHidden/>
    <w:rsid w:val="002D1C8D"/>
  </w:style>
  <w:style w:type="paragraph" w:styleId="CommentSubject">
    <w:name w:val="annotation subject"/>
    <w:basedOn w:val="CommentText"/>
    <w:next w:val="CommentText"/>
    <w:link w:val="CommentSubjectChar"/>
    <w:uiPriority w:val="99"/>
    <w:semiHidden/>
    <w:unhideWhenUsed/>
    <w:rsid w:val="002D1C8D"/>
    <w:rPr>
      <w:b/>
      <w:bCs/>
    </w:rPr>
  </w:style>
  <w:style w:type="character" w:customStyle="1" w:styleId="CommentSubjectChar">
    <w:name w:val="Comment Subject Char"/>
    <w:basedOn w:val="CommentTextChar"/>
    <w:link w:val="CommentSubject"/>
    <w:uiPriority w:val="99"/>
    <w:semiHidden/>
    <w:rsid w:val="002D1C8D"/>
    <w:rPr>
      <w:b/>
      <w:bCs/>
    </w:rPr>
  </w:style>
  <w:style w:type="paragraph" w:styleId="BalloonText">
    <w:name w:val="Balloon Text"/>
    <w:basedOn w:val="Normal"/>
    <w:link w:val="BalloonTextChar"/>
    <w:uiPriority w:val="99"/>
    <w:semiHidden/>
    <w:unhideWhenUsed/>
    <w:rsid w:val="002D1C8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D1C8D"/>
    <w:rPr>
      <w:rFonts w:ascii="Times New Roman" w:hAnsi="Times New Roman"/>
      <w:sz w:val="18"/>
      <w:szCs w:val="18"/>
    </w:rPr>
  </w:style>
  <w:style w:type="character" w:styleId="LineNumber">
    <w:name w:val="line number"/>
    <w:basedOn w:val="DefaultParagraphFont"/>
    <w:uiPriority w:val="99"/>
    <w:semiHidden/>
    <w:unhideWhenUsed/>
    <w:rsid w:val="00D634E0"/>
  </w:style>
  <w:style w:type="paragraph" w:styleId="NormalWeb">
    <w:name w:val="Normal (Web)"/>
    <w:basedOn w:val="Normal"/>
    <w:uiPriority w:val="99"/>
    <w:semiHidden/>
    <w:unhideWhenUsed/>
    <w:rsid w:val="00DB0FC1"/>
    <w:pPr>
      <w:spacing w:before="100" w:beforeAutospacing="1" w:after="100" w:afterAutospacing="1"/>
    </w:pPr>
    <w:rPr>
      <w:rFonts w:ascii="Times New Roman" w:eastAsia="Times New Roman" w:hAnsi="Times New Roman"/>
    </w:rPr>
  </w:style>
  <w:style w:type="character" w:styleId="PlaceholderText">
    <w:name w:val="Placeholder Text"/>
    <w:basedOn w:val="DefaultParagraphFont"/>
    <w:uiPriority w:val="99"/>
    <w:semiHidden/>
    <w:rsid w:val="00086D39"/>
    <w:rPr>
      <w:color w:val="808080"/>
    </w:rPr>
  </w:style>
  <w:style w:type="table" w:styleId="TableGrid">
    <w:name w:val="Table Grid"/>
    <w:basedOn w:val="TableNormal"/>
    <w:uiPriority w:val="59"/>
    <w:rsid w:val="004E6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E262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5408">
      <w:bodyDiv w:val="1"/>
      <w:marLeft w:val="0"/>
      <w:marRight w:val="0"/>
      <w:marTop w:val="0"/>
      <w:marBottom w:val="0"/>
      <w:divBdr>
        <w:top w:val="none" w:sz="0" w:space="0" w:color="auto"/>
        <w:left w:val="none" w:sz="0" w:space="0" w:color="auto"/>
        <w:bottom w:val="none" w:sz="0" w:space="0" w:color="auto"/>
        <w:right w:val="none" w:sz="0" w:space="0" w:color="auto"/>
      </w:divBdr>
      <w:divsChild>
        <w:div w:id="1466385156">
          <w:marLeft w:val="0"/>
          <w:marRight w:val="0"/>
          <w:marTop w:val="0"/>
          <w:marBottom w:val="0"/>
          <w:divBdr>
            <w:top w:val="none" w:sz="0" w:space="0" w:color="auto"/>
            <w:left w:val="none" w:sz="0" w:space="0" w:color="auto"/>
            <w:bottom w:val="none" w:sz="0" w:space="0" w:color="auto"/>
            <w:right w:val="none" w:sz="0" w:space="0" w:color="auto"/>
          </w:divBdr>
          <w:divsChild>
            <w:div w:id="1702391157">
              <w:marLeft w:val="0"/>
              <w:marRight w:val="0"/>
              <w:marTop w:val="0"/>
              <w:marBottom w:val="0"/>
              <w:divBdr>
                <w:top w:val="none" w:sz="0" w:space="0" w:color="auto"/>
                <w:left w:val="none" w:sz="0" w:space="0" w:color="auto"/>
                <w:bottom w:val="none" w:sz="0" w:space="0" w:color="auto"/>
                <w:right w:val="none" w:sz="0" w:space="0" w:color="auto"/>
              </w:divBdr>
              <w:divsChild>
                <w:div w:id="8452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basu/Library/Group%20Containers/UBF8T346G9.Office/User%20Content.localized/Templates.localized/Research%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796B-37F8-C74F-B13F-FC8CD02C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template.dotx</Template>
  <TotalTime>710</TotalTime>
  <Pages>29</Pages>
  <Words>19057</Words>
  <Characters>108627</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127430</CharactersWithSpaces>
  <SharedDoc>false</SharedDoc>
  <HLinks>
    <vt:vector size="6" baseType="variant">
      <vt:variant>
        <vt:i4>4980767</vt:i4>
      </vt:variant>
      <vt:variant>
        <vt:i4>0</vt:i4>
      </vt:variant>
      <vt:variant>
        <vt:i4>0</vt:i4>
      </vt:variant>
      <vt:variant>
        <vt:i4>5</vt:i4>
      </vt:variant>
      <vt:variant>
        <vt:lpwstr>mailto:basus@stanford.edu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2287</cp:revision>
  <dcterms:created xsi:type="dcterms:W3CDTF">2018-03-27T20:01:00Z</dcterms:created>
  <dcterms:modified xsi:type="dcterms:W3CDTF">2018-04-02T19:20:00Z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http://www.zotero.org/styles/american-journal-of-public-health</vt:lpwstr>
  </property>
  <property fmtid="{D5CDD505-2E9C-101B-9397-08002B2CF9AE}" pid="3" name="Mendeley Recent Style Name 0_1">
    <vt:lpwstr>American Journal of Public Health</vt:lpwstr>
  </property>
  <property fmtid="{D5CDD505-2E9C-101B-9397-08002B2CF9AE}" pid="4" name="Mendeley Recent Style Id 1_1">
    <vt:lpwstr>http://www.zotero.org/styles/annals-of-internal-medicine</vt:lpwstr>
  </property>
  <property fmtid="{D5CDD505-2E9C-101B-9397-08002B2CF9AE}" pid="5" name="Mendeley Recent Style Name 1_1">
    <vt:lpwstr>Annals of Internal Medicine</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7th edition</vt:lpwstr>
  </property>
  <property fmtid="{D5CDD505-2E9C-101B-9397-08002B2CF9AE}" pid="14" name="Mendeley Recent Style Id 6_1">
    <vt:lpwstr>http://www.zotero.org/styles/national-library-of-medicine</vt:lpwstr>
  </property>
  <property fmtid="{D5CDD505-2E9C-101B-9397-08002B2CF9AE}" pid="15" name="Mendeley Recent Style Name 6_1">
    <vt:lpwstr>National Library of Medicine</vt:lpwstr>
  </property>
  <property fmtid="{D5CDD505-2E9C-101B-9397-08002B2CF9AE}" pid="16" name="Mendeley Recent Style Id 7_1">
    <vt:lpwstr>http://www.zotero.org/styles/plos-medicine</vt:lpwstr>
  </property>
  <property fmtid="{D5CDD505-2E9C-101B-9397-08002B2CF9AE}" pid="17" name="Mendeley Recent Style Name 7_1">
    <vt:lpwstr>PLOS Medicine</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af423186-32b3-3c1b-b685-8e7c871d052d</vt:lpwstr>
  </property>
  <property fmtid="{D5CDD505-2E9C-101B-9397-08002B2CF9AE}" pid="24" name="Mendeley Citation Style_1">
    <vt:lpwstr>http://www.zotero.org/styles/american-journal-of-public-health</vt:lpwstr>
  </property>
</Properties>
</file>