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486400" cy="3200400"/>
            <wp:effectExtent b="0" l="0" r="0" t="0"/>
            <wp:docPr id="755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strCache>
                <c:ptCount val="1"/>
                <c:pt idx="0">
                  <c:v>Volume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16</c:v>
                </c:pt>
                <c:pt idx="1">
                  <c:v>17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309248"/>
        <c:axId val="142310784"/>
      </c:barChart>
      <c:stockChart>
        <c:ser>
          <c:idx val="1"/>
          <c:order val="1"/>
          <c:tx>
            <c:strRef>
              <c:strCache>
                <c:ptCount val="1"/>
                <c:pt idx="0">
                  <c:v>Open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13</c:v>
                </c:pt>
                <c:pt idx="1">
                  <c:v>14</c:v>
                </c:pt>
                <c:pt idx="2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strCache>
                <c:ptCount val="1"/>
                <c:pt idx="0">
                  <c:v>High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ser>
          <c:idx val="3"/>
          <c:order val="3"/>
          <c:tx>
            <c:strRef>
              <c:strCache>
                <c:ptCount val="1"/>
                <c:pt idx="0">
                  <c:v>Low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7</c:v>
                </c:pt>
                <c:pt idx="1">
                  <c:v>8</c:v>
                </c:pt>
                <c:pt idx="2">
                  <c:v>9</c:v>
                </c:pt>
              </c:numCache>
            </c:numRef>
          </c:val>
          <c:smooth val="0"/>
        </c:ser>
        <c:ser>
          <c:idx val="4"/>
          <c:order val="4"/>
          <c:tx>
            <c:strRef>
              <c:strCache>
                <c:ptCount val="1"/>
                <c:pt idx="0">
                  <c:v>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142310783"/>
        <c:axId val="142310785"/>
      </c:stockChart>
      <c:barChart>
        <c:barDir val="col"/>
        <c:grouping val="clustered"/>
        <c:varyColors val="0"/>
        <c:ser>
          <c:idx val="0"/>
          <c:order val="0"/>
          <c:tx>
            <c:strRef>
              <c:strCache>
                <c:ptCount val="1"/>
                <c:pt idx="0">
                  <c:v>Volume</c:v>
                </c:pt>
              </c:strCache>
            </c:strRef>
          </c:tx>
          <c:spPr>
            <a:solidFill>
              <a:schemeClr val="accent1"/>
            </a:solidFill>
            <a:ln w="19050">
              <a:noFill/>
            </a:ln>
            <a:effectLst/>
          </c:spPr>
          <c:invertIfNegative val="0"/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16</c:v>
                </c:pt>
                <c:pt idx="1">
                  <c:v>17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309248"/>
        <c:axId val="142310784"/>
      </c:barChart>
      <c:stockChart>
        <c:ser>
          <c:idx val="1"/>
          <c:order val="1"/>
          <c:tx>
            <c:strRef>
              <c:strCache>
                <c:ptCount val="1"/>
                <c:pt idx="0">
                  <c:v>Open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13</c:v>
                </c:pt>
                <c:pt idx="1">
                  <c:v>14</c:v>
                </c:pt>
                <c:pt idx="2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strCache>
                <c:ptCount val="1"/>
                <c:pt idx="0">
                  <c:v>High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ser>
          <c:idx val="3"/>
          <c:order val="3"/>
          <c:tx>
            <c:strRef>
              <c:strCache>
                <c:ptCount val="1"/>
                <c:pt idx="0">
                  <c:v>Low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7</c:v>
                </c:pt>
                <c:pt idx="1">
                  <c:v>8</c:v>
                </c:pt>
                <c:pt idx="2">
                  <c:v>9</c:v>
                </c:pt>
              </c:numCache>
            </c:numRef>
          </c:val>
          <c:smooth val="0"/>
        </c:ser>
        <c:ser>
          <c:idx val="4"/>
          <c:order val="4"/>
          <c:tx>
            <c:strRef>
              <c:strCache>
                <c:ptCount val="1"/>
                <c:pt idx="0">
                  <c:v>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numCache>
                <c:formatCode>mm/yy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numCache>
                <c:formatCode>General</c:formatCode>
                <c:ptCount val="3"/>
                <c:pt idx="0">
                  <c:v>10</c:v>
                </c:pt>
                <c:pt idx="1">
                  <c:v>11</c:v>
                </c:pt>
                <c:pt idx="2">
                  <c:v>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142310783"/>
        <c:axId val="142310785"/>
      </c:stockChart>
      <c:date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numFmt formatCode="mm/yy" sourceLinked="1"/>
        <c:majorTickMark val="out"/>
        <c:minorTickMark val="none"/>
        <c:baseTimeUnit val="days"/>
        <c:majorUnit val="1"/>
        <c:majorTimeUnit val="months"/>
      </c:date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  <c:valAx>
        <c:delete val="0"/>
        <c:axId val="142310785"/>
        <c:scaling>
          <c:orientation val="minMax"/>
        </c:scaling>
        <c:axPos val="r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10783"/>
        <c:crosses val="max"/>
        <c:crossBetween val="between"/>
      </c:valAx>
      <c:dateAx>
        <c:axId val="142310783"/>
        <c:delete val="1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5"/>
        <c:crosses val="autoZero"/>
        <c:auto val="1"/>
        <c:lblOffset val="100"/>
        <c:numFmt formatCode="mm/yy" sourceLinked="1"/>
        <c:majorTickMark val="out"/>
        <c:minorTickMark val="none"/>
        <c:baseTimeUnit val="days"/>
        <c:majorUnit val="1"/>
        <c:majorTimeUnit val="months"/>
      </c:date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2022-02-10T05:37:00Z</dcterms:created>
  <dcterms:modified xsi:type="dcterms:W3CDTF">2022-02-10T06:07:00Z</dcterms:modified>
</cp:coreProperties>
</file>