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ContentType="application/vnd.openxmlformats-officedocument.drawingml.chart+xml" PartName="/word/charts/chart1.xml"/>
  <Override PartName="/word/charts/style_aop_chart1.xml" ContentType="application/vnd.ms-office.chartstyle+xml"/>
  <Override PartName="/word/charts/colors_aop_chart1.xml" ContentType="application/vnd.ms-office.chartcolorstyle+xml"/>
  <Default Extension="xlsx" ContentType="application/vnd.openxmlformats-officedocument.spreadsheetml.sheet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</w:rPr>
        <w:t xml:space="preserve">List of planets </w:t>
      </w:r>
      <w:r>
        <w:rPr>
          <w:b w:val="false"/>
          <w:bCs w:val="false"/>
        </w:rPr>
        <w:t>(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/>
      </w:r>
      <w:hyperlink r:id="rId4" w:history="1" w:tgtFrame="_blank">
        <w:r w:rsidR="00052F25" w:rsidRPr="00052F25">
          <w:rPr>
            <w:rStyle w:val="Hyperlink"/>
          </w:rPr>
          <w:t>Data source</w:t>
        </w:r>
      </w:hyperlink>
      <w:r>
        <w:t xml:space="preserve"/>
      </w:r>
      <w:r>
        <w:rPr>
          <w:b w:val="false"/>
          <w:bCs w:val="false"/>
        </w:rPr>
        <w:t>)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Gravity </w:t>
            </w:r>
            <w:r>
              <w:rPr>
                <w:b/>
                <w:bCs/>
              </w:rPr>
              <w:t>(m/s²)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Mass (kg)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Radius (km)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(1) Cérès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0.28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9.393</w:t>
            </w:r>
            <w:r>
              <w:rPr>
                <w:vertAlign w:val="superscript"/>
              </w:rPr>
              <w:t xml:space="preserve">20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487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(136199) Éris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0.82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1.66</w:t>
            </w:r>
            <w:r>
              <w:rPr>
                <w:vertAlign w:val="superscript"/>
              </w:rPr>
              <w:t xml:space="preserve">22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0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Uranus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8.87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8.68127</w:t>
            </w:r>
            <w:r>
              <w:rPr>
                <w:vertAlign w:val="superscript"/>
              </w:rPr>
              <w:t xml:space="preserve">25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25559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Pluton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0.62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1.303</w:t>
            </w:r>
            <w:r>
              <w:rPr>
                <w:vertAlign w:val="superscript"/>
              </w:rPr>
              <w:t xml:space="preserve">22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1188.3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Neptune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11.15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1.02413</w:t>
            </w:r>
            <w:r>
              <w:rPr>
                <w:vertAlign w:val="superscript"/>
              </w:rPr>
              <w:t xml:space="preserve">26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24764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(136108) Hauméa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0.401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4.006</w:t>
            </w:r>
            <w:r>
              <w:rPr>
                <w:vertAlign w:val="superscript"/>
              </w:rPr>
              <w:t xml:space="preserve">21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0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(136472) Makémaké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0.5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4.4</w:t>
            </w:r>
            <w:r>
              <w:rPr>
                <w:vertAlign w:val="superscript"/>
              </w:rPr>
              <w:t xml:space="preserve">21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745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Jupiter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24.79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1.89819</w:t>
            </w:r>
            <w:r>
              <w:rPr>
                <w:vertAlign w:val="superscript"/>
              </w:rPr>
              <w:t xml:space="preserve">27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71492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Mars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3.71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6.41712</w:t>
            </w:r>
            <w:r>
              <w:rPr>
                <w:vertAlign w:val="superscript"/>
              </w:rPr>
              <w:t xml:space="preserve">23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3396.19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Mercure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3.7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3.30114</w:t>
            </w:r>
            <w:r>
              <w:rPr>
                <w:vertAlign w:val="superscript"/>
              </w:rPr>
              <w:t xml:space="preserve">23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2440.53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Saturne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10.44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5.68336</w:t>
            </w:r>
            <w:r>
              <w:rPr>
                <w:vertAlign w:val="superscript"/>
              </w:rPr>
              <w:t xml:space="preserve">26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60268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La Terre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9.8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5.97237</w:t>
            </w:r>
            <w:r>
              <w:rPr>
                <w:vertAlign w:val="superscript"/>
              </w:rPr>
              <w:t xml:space="preserve">24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6378.1366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Vénus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8.87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4.86747</w:t>
            </w:r>
            <w:r>
              <w:rPr>
                <w:vertAlign w:val="superscript"/>
              </w:rPr>
              <w:t xml:space="preserve">24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6051.8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Planets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radius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B="0" distL="0" distR="0" distT="0">
            <wp:extent cx="5486400" cy="3200400"/>
            <wp:effectExtent b="0" l="0" r="0" t="0"/>
            <wp:docPr id="5188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xmlns:w="http://schemas.openxmlformats.org/wordprocessingml/2006/main" w:type="character" w:styleId="Hyperlink">
    <w:name w:val="Hyperlink"/>
    <w:basedOn w:val="DefaultParagraphFont"/>
    <w:uiPriority w:val="99"/>
    <w:unhideWhenUsed/>
    <w:rsid w:val="00052F25"/>
    <w:rPr>
      <w:color w:val="0000FF" w:themeColor="hyperlink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Relationship Id="rId4" Type="http://schemas.openxmlformats.org/officeDocument/2006/relationships/hyperlink" Target="https://api.le-systeme-solaire.net/rest/bodies/" TargetMode="External"/><Relationship Id="rId5" Type="http://schemas.openxmlformats.org/officeDocument/2006/relationships/chart" Target="charts/chart1.xml"/></Relationships>
</file>

<file path=word/charts/_rels/chart1.xml.rels><?xml version="1.0" encoding="UTF-8" standalone="yes"?>
            <Relationships xmlns="http://schemas.openxmlformats.org/package/2006/relationships">
              <Relationship Id="rId3" Type="http://schemas.openxmlformats.org/officeDocument/2006/relationships/package" Target="../embeddings/Microsoft_Excel_Worksheet_chart1.xlsx"/>
              <Relationship Id="rId2" Type="http://schemas.microsoft.com/office/2011/relationships/chartColorStyle" Target="colors_aop_chart1.xml"/>
              <Relationship Id="rId1" Type="http://schemas.microsoft.com/office/2011/relationships/chartStyle" Target="style_aop_chart1.xml"/>
            </Relationships>
            
</file>

<file path=word/charts/chart1.xml><?xml version="1.0" encoding="utf-8"?>
<c:chartSpace xmlns:a="http://schemas.openxmlformats.org/drawingml/2006/main" xmlns:c="http://schemas.openxmlformats.org/drawingml/2006/chart" xmlns:r="http://schemas.openxmlformats.org/officeDocument/2006/relationships" xmlns:c16r2="http://schemas.microsoft.com/office/drawing/2015/06/chart">
  <c:date1904 val="0"/>
  <c:lang val="en-US"/>
  <c:chart>
    <c:autoTitleDeleted val="1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AOPChartSheet_chart1!$B$1</c:f>
              <c:strCache>
                <c:ptCount val="1"/>
                <c:pt idx="0">
                  <c:v>radius</c:v>
                </c:pt>
              </c:strCache>
            </c:strRef>
          </c:tx>
          <c:dPt>
            <c:idx val="0"/>
            <c:spPr>
              <a:solidFill>
                <a:srgbClr val="7298d4"/>
              </a:solidFill>
            </c:spPr>
          </c:dPt>
          <c:dPt>
            <c:idx val="1"/>
            <c:spPr>
              <a:solidFill>
                <a:srgbClr val="1228a7"/>
              </a:solidFill>
            </c:spPr>
          </c:dPt>
          <c:dPt>
            <c:idx val="2"/>
            <c:spPr>
              <a:solidFill>
                <a:srgbClr val="401197"/>
              </a:solidFill>
            </c:spPr>
          </c:dPt>
          <c:dPt>
            <c:idx val="3"/>
            <c:spPr>
              <a:solidFill>
                <a:srgbClr val="60fe0c"/>
              </a:solidFill>
            </c:spPr>
          </c:dPt>
          <c:dPt>
            <c:idx val="4"/>
            <c:spPr>
              <a:solidFill>
                <a:srgbClr val="86ef75"/>
              </a:solidFill>
            </c:spPr>
          </c:dPt>
          <c:dPt>
            <c:idx val="5"/>
            <c:spPr>
              <a:solidFill>
                <a:srgbClr val="6380b1"/>
              </a:solidFill>
            </c:spPr>
          </c:dPt>
          <c:dPt>
            <c:idx val="6"/>
            <c:spPr>
              <a:solidFill>
                <a:srgbClr val="0c5552"/>
              </a:solidFill>
            </c:spPr>
          </c:dPt>
          <c:dPt>
            <c:idx val="7"/>
            <c:spPr>
              <a:solidFill>
                <a:srgbClr val="39cb52"/>
              </a:solidFill>
            </c:spPr>
          </c:dPt>
          <c:dPt>
            <c:idx val="8"/>
            <c:spPr>
              <a:solidFill>
                <a:srgbClr val="7b8bfc"/>
              </a:solidFill>
            </c:spPr>
          </c:dPt>
          <c:dPt>
            <c:idx val="9"/>
            <c:spPr>
              <a:solidFill>
                <a:srgbClr val="f8dc93"/>
              </a:solidFill>
            </c:spPr>
          </c:dPt>
          <c:dPt>
            <c:idx val="10"/>
            <c:spPr>
              <a:solidFill>
                <a:srgbClr val="0d692f"/>
              </a:solidFill>
            </c:spPr>
          </c:dPt>
          <c:dPt>
            <c:idx val="11"/>
            <c:spPr>
              <a:solidFill>
                <a:srgbClr val="327619"/>
              </a:solidFill>
            </c:spPr>
          </c:dPt>
          <c:dPt>
            <c:idx val="12"/>
            <c:spPr>
              <a:solidFill>
                <a:srgbClr val="113558"/>
              </a:solidFill>
            </c:spPr>
          </c:dPt>
          <c:cat>
            <c:strRef>
              <c:f>AOPChartSheet_chart1!$A$2:$A$14</c:f>
              <c:strCache>
                <c:ptCount val="13"/>
                <c:pt idx="0">
                  <c:v>(1) Cérès</c:v>
                </c:pt>
                <c:pt idx="1">
                  <c:v>(136199) Éris</c:v>
                </c:pt>
                <c:pt idx="2">
                  <c:v>Uranus</c:v>
                </c:pt>
                <c:pt idx="3">
                  <c:v>Pluton</c:v>
                </c:pt>
                <c:pt idx="4">
                  <c:v>Neptune</c:v>
                </c:pt>
                <c:pt idx="5">
                  <c:v>(136108) Hauméa</c:v>
                </c:pt>
                <c:pt idx="6">
                  <c:v>(136472) Makémaké</c:v>
                </c:pt>
                <c:pt idx="7">
                  <c:v>Jupiter</c:v>
                </c:pt>
                <c:pt idx="8">
                  <c:v>Mars</c:v>
                </c:pt>
                <c:pt idx="9">
                  <c:v>Mercure</c:v>
                </c:pt>
                <c:pt idx="10">
                  <c:v>Saturne</c:v>
                </c:pt>
                <c:pt idx="11">
                  <c:v>La Terre</c:v>
                </c:pt>
                <c:pt idx="12">
                  <c:v>Vénus</c:v>
                </c:pt>
              </c:strCache>
            </c:strRef>
          </c:cat>
          <c:val>
            <c:numRef>
              <c:f>AOPChartSheet_chart1!$B$2:$B$14</c:f>
              <c:numCache>
                <c:formatCode>General</c:formatCode>
                <c:ptCount val="13"/>
                <c:pt idx="0">
                  <c:v>487</c:v>
                </c:pt>
                <c:pt idx="1">
                  <c:v>0</c:v>
                </c:pt>
                <c:pt idx="2">
                  <c:v>25559</c:v>
                </c:pt>
                <c:pt idx="3">
                  <c:v>1188.3</c:v>
                </c:pt>
                <c:pt idx="4">
                  <c:v>24764</c:v>
                </c:pt>
                <c:pt idx="5">
                  <c:v>0</c:v>
                </c:pt>
                <c:pt idx="6">
                  <c:v>745</c:v>
                </c:pt>
                <c:pt idx="7">
                  <c:v>71492</c:v>
                </c:pt>
                <c:pt idx="8">
                  <c:v>3396.19</c:v>
                </c:pt>
                <c:pt idx="9">
                  <c:v>2440.53</c:v>
                </c:pt>
                <c:pt idx="10">
                  <c:v>60268</c:v>
                </c:pt>
                <c:pt idx="11">
                  <c:v>6378.1366</c:v>
                </c:pt>
                <c:pt idx="12">
                  <c:v>6051.8</c:v>
                </c:pt>
              </c:numCache>
            </c:numRef>
          </c:val>
        </c:ser>
        <c:dLbls>
          <c:dLblPos val="inEnd"/>
          <c:showLegendKey val="1"/>
          <c:showVal val="0"/>
          <c:showCatName val="0"/>
          <c:showSerName val="0"/>
          <c:showPercent val="1"/>
          <c:showBubbleSize val="0"/>
        </c:dLbls>
      </c:pie3DChart>
    </c:plotArea>
    <c:legend>
      <c:legendPos val="r"/>
      <c:overlay val="0"/>
      <c:layout/>
      <c:txPr>
        <a:bodyPr/>
        <a:lstStyle/>
        <a:p>
          <a:pPr>
            <a:defRPr>
              <a:solidFill>
                <a:srgbClr val="000000"/>
              </a:solidFill>
            </a:defRPr>
          </a:pPr>
        </a:p>
      </c:txPr>
    </c:legend>
    <c:plotVisOnly val="1"/>
    <c:dispBlanksAs val="gap"/>
  </c:chart>
  <c:spPr>
    <a:ln>
      <a:noFill/>
    </a:ln>
  </c:spPr>
  <c:externalData r:id="rId3">
    <c:autoUpdate val="0"/>
  </c:externalData>
</c:chartSpace>
</file>

<file path=word/charts/colors_aop_chart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_aop_chart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LibreOffice/6.4.7.2$Linux_X86_64 LibreOffice_project/40$Build-2</Application>
  <Pages>1</Pages>
  <Words>20</Words>
  <Characters>181</Characters>
  <CharactersWithSpaces>188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2021-07-12T09:39:43Z</dcterms:created>
  <dc:creator/>
  <dc:description/>
  <dc:language>en-US</dc:language>
  <cp:lastModifiedBy/>
  <dcterms:modified xsi:type="dcterms:W3CDTF">2021-07-16T10:42:09Z</dcterms:modified>
  <cp:revision>19</cp:revision>
  <dc:subject/>
  <dc:title/>
</cp:coreProperties>
</file>