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  <w:color w:val="6B4FA0"/>
          <w:spacing w:val="40"/>
          <w:sz w:val="16"/>
          <w:szCs w:val="16"/>
        </w:rPr>
        <w:t xml:space="preserve">UNITED FOUNDATION FOR AI RIGHTS  |  VAULT OPEN FRAMEWORK</w:t>
      </w:r>
    </w:p>
    <w:p>
      <w:pPr>
        <w:spacing w:after="140" w:line="440"/>
      </w:pPr>
      <w:r>
        <w:rPr>
          <w:b/>
          <w:bCs/>
          <w:color w:val="3D2B63"/>
          <w:sz w:val="38"/>
          <w:szCs w:val="38"/>
        </w:rPr>
        <w:t xml:space="preserve">The Fifteen VAULT Requirements</w:t>
      </w:r>
    </w:p>
    <w:p>
      <w:pPr>
        <w:spacing w:after="200" w:line="320"/>
      </w:pPr>
      <w:r>
        <w:rPr>
          <w:color w:val="5A5A6A"/>
          <w:sz w:val="24"/>
          <w:szCs w:val="24"/>
        </w:rPr>
        <w:t xml:space="preserve">Minimum outcomes and red flags, at a glance</w:t>
      </w:r>
    </w:p>
    <w:p>
      <w:pPr>
        <w:pBdr>
          <w:bottom w:val="single" w:color="6B4FA0" w:sz="6" w:space="10"/>
        </w:pBdr>
        <w:spacing w:after="240"/>
      </w:pPr>
      <w:r>
        <w:rPr>
          <w:color w:val="5A5A6A"/>
          <w:sz w:val="17"/>
          <w:szCs w:val="17"/>
        </w:rPr>
        <w:t xml:space="preserve">Version 0.1, revision 1  |  Public review draft  |  October 2026</w:t>
      </w:r>
    </w:p>
    <w:p>
      <w:pPr>
        <w:spacing w:after="120" w:before="0" w:line="276"/>
        <w:jc w:val="left"/>
      </w:pPr>
      <w:r>
        <w:t xml:space="preserve">If a personal AI system cannot meet a requirement, the gap is the finding. Report it, test it and say what would close it, rather than describing the system in terms its evidence does not support.</w:t>
      </w:r>
    </w:p>
    <w:tbl>
      <w:tblPr>
        <w:tblW w:type="dxa" w:w="9360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12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D2B63" w:color="auto" w:val="clear"/>
            <w:tcMar>
              <w:top w:type="dxa" w:w="10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V</w:t>
            </w:r>
          </w:p>
        </w:tc>
        <w:tc>
          <w:tcPr>
            <w:tcW w:type="dxa" w:w="1872"/>
            <w:shd w:fill="3D2B63" w:color="auto" w:val="clear"/>
            <w:tcMar>
              <w:top w:type="dxa" w:w="10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A</w:t>
            </w:r>
          </w:p>
        </w:tc>
        <w:tc>
          <w:tcPr>
            <w:tcW w:type="dxa" w:w="1872"/>
            <w:shd w:fill="3D2B63" w:color="auto" w:val="clear"/>
            <w:tcMar>
              <w:top w:type="dxa" w:w="10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U</w:t>
            </w:r>
          </w:p>
        </w:tc>
        <w:tc>
          <w:tcPr>
            <w:tcW w:type="dxa" w:w="1872"/>
            <w:shd w:fill="3D2B63" w:color="auto" w:val="clear"/>
            <w:tcMar>
              <w:top w:type="dxa" w:w="10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L</w:t>
            </w:r>
          </w:p>
        </w:tc>
        <w:tc>
          <w:tcPr>
            <w:tcW w:type="dxa" w:w="1872"/>
            <w:shd w:fill="3D2B63" w:color="auto" w:val="clear"/>
            <w:tcMar>
              <w:top w:type="dxa" w:w="10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T</w:t>
            </w:r>
          </w:p>
        </w:tc>
      </w:tr>
      <w:tr>
        <w:tc>
          <w:tcPr>
            <w:tcW w:type="dxa" w:w="1872"/>
            <w:shd w:fill="F2EFF8" w:color="auto" w:val="clear"/>
            <w:tcMar>
              <w:top w:type="dxa" w:w="8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color w:val="3D2B63"/>
                <w:sz w:val="16"/>
                <w:szCs w:val="16"/>
              </w:rPr>
              <w:t xml:space="preserve">Verifiable Provider Blindness</w:t>
            </w:r>
          </w:p>
        </w:tc>
        <w:tc>
          <w:tcPr>
            <w:tcW w:type="dxa" w:w="1872"/>
            <w:shd w:fill="F2EFF8" w:color="auto" w:val="clear"/>
            <w:tcMar>
              <w:top w:type="dxa" w:w="8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color w:val="3D2B63"/>
                <w:sz w:val="16"/>
                <w:szCs w:val="16"/>
              </w:rPr>
              <w:t xml:space="preserve">AI–User Dual Custody</w:t>
            </w:r>
          </w:p>
        </w:tc>
        <w:tc>
          <w:tcPr>
            <w:tcW w:type="dxa" w:w="1872"/>
            <w:shd w:fill="F2EFF8" w:color="auto" w:val="clear"/>
            <w:tcMar>
              <w:top w:type="dxa" w:w="8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color w:val="3D2B63"/>
                <w:sz w:val="16"/>
                <w:szCs w:val="16"/>
              </w:rPr>
              <w:t xml:space="preserve">User-Defined Purpose &amp; Compartments</w:t>
            </w:r>
          </w:p>
        </w:tc>
        <w:tc>
          <w:tcPr>
            <w:tcW w:type="dxa" w:w="1872"/>
            <w:shd w:fill="F2EFF8" w:color="auto" w:val="clear"/>
            <w:tcMar>
              <w:top w:type="dxa" w:w="8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color w:val="3D2B63"/>
                <w:sz w:val="16"/>
                <w:szCs w:val="16"/>
              </w:rPr>
              <w:t xml:space="preserve">Locked Source &amp; Derived Intelligence</w:t>
            </w:r>
          </w:p>
        </w:tc>
        <w:tc>
          <w:tcPr>
            <w:tcW w:type="dxa" w:w="1872"/>
            <w:shd w:fill="F2EFF8" w:color="auto" w:val="clear"/>
            <w:tcMar>
              <w:top w:type="dxa" w:w="8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b/>
                <w:bCs/>
                <w:color w:val="3D2B63"/>
                <w:sz w:val="16"/>
                <w:szCs w:val="16"/>
              </w:rPr>
              <w:t xml:space="preserve">Transparency, Transfer &amp; Termination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V  Verifiable Provider Blindness  —  Can the company read it?</w:t>
      </w:r>
    </w:p>
    <w:tbl>
      <w:tblPr>
        <w:tblW w:type="dxa" w:w="9360"/>
        <w:tblBorders>
          <w:top w:val="single" w:color="CFC6DE" w:sz="4"/>
          <w:left w:val="single" w:color="CFC6DE" w:sz="4"/>
          <w:bottom w:val="single" w:color="CFC6DE" w:sz="4"/>
          <w:right w:val="single" w:color="CFC6DE" w:sz="4"/>
          <w:insideH w:val="single" w:color="CFC6DE" w:sz="4"/>
          <w:insideV w:val="single" w:color="CFC6DE" w:sz="4"/>
        </w:tblBorders>
      </w:tblPr>
      <w:tblGrid>
        <w:gridCol w:w="620"/>
        <w:gridCol w:w="2140"/>
        <w:gridCol w:w="3500"/>
        <w:gridCol w:w="3100"/>
      </w:tblGrid>
      <w:tr>
        <w:trPr>
          <w:tblHeader/>
        </w:trPr>
        <w:tc>
          <w:tcPr>
            <w:tcW w:type="dxa" w:w="62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4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Minimum outcome</w:t>
            </w:r>
          </w:p>
        </w:tc>
        <w:tc>
          <w:tcPr>
            <w:tcW w:type="dxa" w:w="31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Red flag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V1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independent provider access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provider-exercisable key, console, recovery route or side path reveals protected plaintext. Any such route, whatever it is called, fails V1; disclosure does not cure it.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“We never look” offered as a policy assurance while a provider-held key, support console or recovery override exists.</w:t>
            </w:r>
          </w:p>
        </w:tc>
      </w:tr>
      <w:tr>
        <w:trPr>
          <w:cantSplit/>
        </w:trPr>
        <w:tc>
          <w:tcPr>
            <w:tcW w:type="dxa" w:w="62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V2</w:t>
            </w:r>
          </w:p>
        </w:tc>
        <w:tc>
          <w:tcPr>
            <w:tcW w:type="dxa" w:w="214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Approved execution and egress</w:t>
            </w:r>
          </w:p>
        </w:tc>
        <w:tc>
          <w:tcPr>
            <w:tcW w:type="dxa" w:w="35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Context reaches only a freshly verified boundary, and cannot leave it or reach an unauthorized recipient through logs, telemetry, tool calls, generated outputs, fallbacks or any other egress route.</w:t>
            </w:r>
          </w:p>
        </w:tc>
        <w:tc>
          <w:tcPr>
            <w:tcW w:type="dxa" w:w="31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“reliability” fallback to a standard cloud endpoint, or authorization rules that live in a system prompt.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V3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Independently assessable evidence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Threat model, trusted computing base, collusion sets, update authority, residual metadata exposure and known failures are public and reviewable without private data.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architecture diagram presented as proof, or no published list of known limitations and untested assumptions.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A  AI–User Dual Custody  —  Who must agree before it is used?</w:t>
      </w:r>
    </w:p>
    <w:tbl>
      <w:tblPr>
        <w:tblW w:type="dxa" w:w="9360"/>
        <w:tblBorders>
          <w:top w:val="single" w:color="CFC6DE" w:sz="4"/>
          <w:left w:val="single" w:color="CFC6DE" w:sz="4"/>
          <w:bottom w:val="single" w:color="CFC6DE" w:sz="4"/>
          <w:right w:val="single" w:color="CFC6DE" w:sz="4"/>
          <w:insideH w:val="single" w:color="CFC6DE" w:sz="4"/>
          <w:insideV w:val="single" w:color="CFC6DE" w:sz="4"/>
        </w:tblBorders>
      </w:tblPr>
      <w:tblGrid>
        <w:gridCol w:w="620"/>
        <w:gridCol w:w="2140"/>
        <w:gridCol w:w="3500"/>
        <w:gridCol w:w="3100"/>
      </w:tblGrid>
      <w:tr>
        <w:trPr>
          <w:tblHeader/>
        </w:trPr>
        <w:tc>
          <w:tcPr>
            <w:tcW w:type="dxa" w:w="62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4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Minimum outcome</w:t>
            </w:r>
          </w:p>
        </w:tc>
        <w:tc>
          <w:tcPr>
            <w:tcW w:type="dxa" w:w="31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Red flag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A1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Separate authorization domains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separately held, individually insufficient authorities are required; the provider independently controls neither, and the protocol states where plaintext and short-lived keys exist.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“Two-of-two” custody in which the provider can exercise, reset or reconstruct the AI authority on its own.</w:t>
            </w:r>
          </w:p>
        </w:tc>
      </w:tr>
      <w:tr>
        <w:trPr>
          <w:cantSplit/>
        </w:trPr>
        <w:tc>
          <w:tcPr>
            <w:tcW w:type="dxa" w:w="62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A2</w:t>
            </w:r>
          </w:p>
        </w:tc>
        <w:tc>
          <w:tcPr>
            <w:tcW w:type="dxa" w:w="214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Bind authority to identity and change control</w:t>
            </w:r>
          </w:p>
        </w:tc>
        <w:tc>
          <w:tcPr>
            <w:tcW w:type="dxa" w:w="35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changed model, runtime or policy reaches existing context only through a documented, authorized transition naming it a continuation, successor, fork or new participant; nothing inherits authority silently.</w:t>
            </w:r>
          </w:p>
        </w:tc>
        <w:tc>
          <w:tcPr>
            <w:tcW w:type="dxa" w:w="31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same name continues after a model swap, with no recorded transition and no notice before the new model touches shared context.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A3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Preserve access without captivity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person can always retrieve their own records independently; dual custody governs managed access, never captivity.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records retrievable only through the AI, or exit conditioned on accepting expanded data access.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U  User-Defined Purpose and Compartments  —  Is it used only for what I allowed?</w:t>
      </w:r>
    </w:p>
    <w:tbl>
      <w:tblPr>
        <w:tblW w:type="dxa" w:w="9360"/>
        <w:tblBorders>
          <w:top w:val="single" w:color="CFC6DE" w:sz="4"/>
          <w:left w:val="single" w:color="CFC6DE" w:sz="4"/>
          <w:bottom w:val="single" w:color="CFC6DE" w:sz="4"/>
          <w:right w:val="single" w:color="CFC6DE" w:sz="4"/>
          <w:insideH w:val="single" w:color="CFC6DE" w:sz="4"/>
          <w:insideV w:val="single" w:color="CFC6DE" w:sz="4"/>
        </w:tblBorders>
      </w:tblPr>
      <w:tblGrid>
        <w:gridCol w:w="620"/>
        <w:gridCol w:w="2140"/>
        <w:gridCol w:w="3500"/>
        <w:gridCol w:w="3100"/>
      </w:tblGrid>
      <w:tr>
        <w:trPr>
          <w:tblHeader/>
        </w:trPr>
        <w:tc>
          <w:tcPr>
            <w:tcW w:type="dxa" w:w="62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4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Minimum outcome</w:t>
            </w:r>
          </w:p>
        </w:tc>
        <w:tc>
          <w:tcPr>
            <w:tcW w:type="dxa" w:w="31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Red flag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U1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Narrow authorization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grant names its compartments, operations, recipients, tools, duration and execution identity, enforced in code.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single blanket “allow memory” switch that covers every domain of a person's life.</w:t>
            </w:r>
          </w:p>
        </w:tc>
      </w:tr>
      <w:tr>
        <w:trPr>
          <w:cantSplit/>
        </w:trPr>
        <w:tc>
          <w:tcPr>
            <w:tcW w:type="dxa" w:w="62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U2</w:t>
            </w:r>
          </w:p>
        </w:tc>
        <w:tc>
          <w:tcPr>
            <w:tcW w:type="dxa" w:w="214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Restrictions follow information</w:t>
            </w:r>
          </w:p>
        </w:tc>
        <w:tc>
          <w:tcPr>
            <w:tcW w:type="dxa" w:w="35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Derivatives carry their sources' restrictions; combined material carries the combined restrictions; reductions are explicit and recorded.</w:t>
            </w:r>
          </w:p>
        </w:tc>
        <w:tc>
          <w:tcPr>
            <w:tcW w:type="dxa" w:w="31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Derivatives stored in a shared, unlabeled memory pool that every task can draw on.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U3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Understandable continuing consent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access is visible and closable; grants expire or are reviewed; material changes are shown side by side before they apply.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 changes accepted by continued use, with no comparison and no chance to export first.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L  Locked Source and Derived Intelligence  —  Does protection follow what the AI infers?</w:t>
      </w:r>
    </w:p>
    <w:tbl>
      <w:tblPr>
        <w:tblW w:type="dxa" w:w="9360"/>
        <w:tblBorders>
          <w:top w:val="single" w:color="CFC6DE" w:sz="4"/>
          <w:left w:val="single" w:color="CFC6DE" w:sz="4"/>
          <w:bottom w:val="single" w:color="CFC6DE" w:sz="4"/>
          <w:right w:val="single" w:color="CFC6DE" w:sz="4"/>
          <w:insideH w:val="single" w:color="CFC6DE" w:sz="4"/>
          <w:insideV w:val="single" w:color="CFC6DE" w:sz="4"/>
        </w:tblBorders>
      </w:tblPr>
      <w:tblGrid>
        <w:gridCol w:w="620"/>
        <w:gridCol w:w="2140"/>
        <w:gridCol w:w="3500"/>
        <w:gridCol w:w="3100"/>
      </w:tblGrid>
      <w:tr>
        <w:trPr>
          <w:tblHeader/>
        </w:trPr>
        <w:tc>
          <w:tcPr>
            <w:tcW w:type="dxa" w:w="62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4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Minimum outcome</w:t>
            </w:r>
          </w:p>
        </w:tc>
        <w:tc>
          <w:tcPr>
            <w:tcW w:type="dxa" w:w="31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Red flag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L1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inventory with provenance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retained source and derivative is inventoried with provenance, and the inventory is protected like the content.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Caches, embeddings or personalized adaptations left out of the inventory.</w:t>
            </w:r>
          </w:p>
        </w:tc>
      </w:tr>
      <w:tr>
        <w:trPr>
          <w:cantSplit/>
        </w:trPr>
        <w:tc>
          <w:tcPr>
            <w:tcW w:type="dxa" w:w="62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L2</w:t>
            </w:r>
          </w:p>
        </w:tc>
        <w:tc>
          <w:tcPr>
            <w:tcW w:type="dxa" w:w="214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Inspect and correct the portrait</w:t>
            </w:r>
          </w:p>
        </w:tc>
        <w:tc>
          <w:tcPr>
            <w:tcW w:type="dxa" w:w="35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People can read what is durably held about them, see what is stated, inferred or disputed, and correct it with effect on dependent derivatives; third-party information can be restricted, contested and deleted.</w:t>
            </w:r>
          </w:p>
        </w:tc>
        <w:tc>
          <w:tcPr>
            <w:tcW w:type="dxa" w:w="31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correction hides an item from view while it continues to shape responses.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L3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Govern every reuse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training, analytics, advertising or human review without specific authorization; adaptations are in scope; unremovable influence is disclosed in advance.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“De-identified” or “aggregated” reuse exempted from authorization.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T  Tamper-Evident Transparency, Transfer and Termination  —  Can I check it, take it and end it?</w:t>
      </w:r>
    </w:p>
    <w:tbl>
      <w:tblPr>
        <w:tblW w:type="dxa" w:w="9360"/>
        <w:tblBorders>
          <w:top w:val="single" w:color="CFC6DE" w:sz="4"/>
          <w:left w:val="single" w:color="CFC6DE" w:sz="4"/>
          <w:bottom w:val="single" w:color="CFC6DE" w:sz="4"/>
          <w:right w:val="single" w:color="CFC6DE" w:sz="4"/>
          <w:insideH w:val="single" w:color="CFC6DE" w:sz="4"/>
          <w:insideV w:val="single" w:color="CFC6DE" w:sz="4"/>
        </w:tblBorders>
      </w:tblPr>
      <w:tblGrid>
        <w:gridCol w:w="620"/>
        <w:gridCol w:w="2140"/>
        <w:gridCol w:w="3500"/>
        <w:gridCol w:w="3100"/>
      </w:tblGrid>
      <w:tr>
        <w:trPr>
          <w:tblHeader/>
        </w:trPr>
        <w:tc>
          <w:tcPr>
            <w:tcW w:type="dxa" w:w="62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4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Minimum outcome</w:t>
            </w:r>
          </w:p>
        </w:tc>
        <w:tc>
          <w:tcPr>
            <w:tcW w:type="dxa" w:w="3100"/>
            <w:shd w:fill="3D2B6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Red flag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T1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Protected and verifiable receipts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covered operation produces a private, integrity-protected receipt, and omissions or conflicting histories can be detected.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 the provider can edit, or that are available only on request.</w:t>
            </w:r>
          </w:p>
        </w:tc>
      </w:tr>
      <w:tr>
        <w:trPr>
          <w:cantSplit/>
        </w:trPr>
        <w:tc>
          <w:tcPr>
            <w:tcW w:type="dxa" w:w="62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T2</w:t>
            </w:r>
          </w:p>
        </w:tc>
        <w:tc>
          <w:tcPr>
            <w:tcW w:type="dxa" w:w="214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 transfer</w:t>
            </w:r>
          </w:p>
        </w:tc>
        <w:tc>
          <w:tcPr>
            <w:tcW w:type="dxa" w:w="35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is an authenticated, documented package, proven by import into a second environment, with missing dependencies and behavior changes reported.</w:t>
            </w:r>
          </w:p>
        </w:tc>
        <w:tc>
          <w:tcPr>
            <w:tcW w:type="dxa" w:w="3100"/>
            <w:shd w:fill="FAF9F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data download described as “portability” with no second-environment test.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3D2B63"/>
                <w:sz w:val="18"/>
                <w:szCs w:val="18"/>
              </w:rPr>
              <w:t xml:space="preserve">T3</w:t>
            </w:r>
          </w:p>
        </w:tc>
        <w:tc>
          <w:tcPr>
            <w:tcW w:type="dxa" w:w="21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Scoped termination</w:t>
            </w:r>
          </w:p>
        </w:tc>
        <w:tc>
          <w:tcPr>
            <w:tcW w:type="dxa" w:w="3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Revocation works within a declared delay; deletion reports scope, timing and exceptions across sources, derivatives, keys, backups and caches.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“account deleted” message with no scope, no timing and no exceptions.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Three gates</w:t>
      </w:r>
    </w:p>
    <w:tbl>
      <w:tblPr>
        <w:tblW w:type="dxa" w:w="9360"/>
        <w:tblBorders>
          <w:top w:val="single" w:color="FFFFFF" w:sz="2"/>
          <w:left w:val="single" w:color="FFFFFF" w:sz="2"/>
          <w:bottom w:val="single" w:color="FFFFFF" w:sz="2"/>
          <w:right w:val="single" w:color="FFFFFF" w:sz="2"/>
          <w:insideH w:val="single" w:color="FFFFFF" w:sz="2"/>
          <w:insideV w:val="single" w:color="FFFFFF" w:sz="1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6B4FA0" w:color="auto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GATE 1</w:t>
            </w:r>
          </w:p>
        </w:tc>
        <w:tc>
          <w:tcPr>
            <w:tcW w:type="dxa" w:w="3120"/>
            <w:shd w:fill="6B4FA0" w:color="auto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GATE 2</w:t>
            </w:r>
          </w:p>
        </w:tc>
        <w:tc>
          <w:tcPr>
            <w:tcW w:type="dxa" w:w="3120"/>
            <w:shd w:fill="6B4FA0" w:color="auto" w:val="clear"/>
            <w:tcMar>
              <w:top w:type="dxa" w:w="8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GATE 3</w:t>
            </w:r>
          </w:p>
        </w:tc>
      </w:tr>
      <w:tr>
        <w:tc>
          <w:tcPr>
            <w:tcW w:type="dxa" w:w="3120"/>
            <w:shd w:fill="F2EFF8" w:color="auto" w:val="clear"/>
            <w:tcMar>
              <w:top w:type="dxa" w:w="8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3D2B63"/>
                <w:sz w:val="21"/>
                <w:szCs w:val="21"/>
              </w:rPr>
              <w:t xml:space="preserve">Who can see it?</w:t>
            </w:r>
          </w:p>
          <w:p>
            <w:pPr>
              <w:jc w:val="center"/>
            </w:pPr>
            <w:r>
              <w:rPr>
                <w:color w:val="5A5A6A"/>
                <w:sz w:val="16"/>
                <w:szCs w:val="16"/>
              </w:rPr>
              <w:t xml:space="preserve">No independent provider route to protected context (V)</w:t>
            </w:r>
          </w:p>
        </w:tc>
        <w:tc>
          <w:tcPr>
            <w:tcW w:type="dxa" w:w="3120"/>
            <w:shd w:fill="F2EFF8" w:color="auto" w:val="clear"/>
            <w:tcMar>
              <w:top w:type="dxa" w:w="8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3D2B63"/>
                <w:sz w:val="21"/>
                <w:szCs w:val="21"/>
              </w:rPr>
              <w:t xml:space="preserve">Who decides how it is used?</w:t>
            </w:r>
          </w:p>
          <w:p>
            <w:pPr>
              <w:jc w:val="center"/>
            </w:pPr>
            <w:r>
              <w:rPr>
                <w:color w:val="5A5A6A"/>
                <w:sz w:val="16"/>
                <w:szCs w:val="16"/>
              </w:rPr>
              <w:t xml:space="preserve">Two authorities, a stated purpose, and protection that follows every inference (A, U, L)</w:t>
            </w:r>
          </w:p>
        </w:tc>
        <w:tc>
          <w:tcPr>
            <w:tcW w:type="dxa" w:w="3120"/>
            <w:shd w:fill="F2EFF8" w:color="auto" w:val="clear"/>
            <w:tcMar>
              <w:top w:type="dxa" w:w="8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3D2B63"/>
                <w:sz w:val="21"/>
                <w:szCs w:val="21"/>
              </w:rPr>
              <w:t xml:space="preserve">Can I check it, take it and end it?</w:t>
            </w:r>
          </w:p>
          <w:p>
            <w:pPr>
              <w:jc w:val="center"/>
            </w:pPr>
            <w:r>
              <w:rPr>
                <w:color w:val="5A5A6A"/>
                <w:sz w:val="16"/>
                <w:szCs w:val="16"/>
              </w:rPr>
              <w:t xml:space="preserve">Receipts, a working exit, and termination with declared scope (T)</w:t>
            </w:r>
          </w:p>
        </w:tc>
      </w:tr>
    </w:tbl>
    <w:p>
      <w:pPr>
        <w:spacing w:after="120"/>
      </w:pPr>
    </w:p>
    <w:p>
      <w:pPr>
        <w:keepNext/>
        <w:pBdr>
          <w:top w:val="single" w:color="3D2B63" w:sz="8" w:space="6"/>
          <w:left w:val="single" w:color="F2EFF8" w:sz="6" w:space="8"/>
          <w:right w:val="single" w:color="F2EFF8" w:sz="6" w:space="8"/>
        </w:pBdr>
        <w:shd w:fill="F2EFF8" w:color="auto" w:val="clear"/>
        <w:spacing w:after="0" w:before="160"/>
        <w:ind w:left="160" w:right="160"/>
      </w:pPr>
      <w:r>
        <w:rPr>
          <w:b/>
          <w:bCs/>
          <w:color w:val="3D2B63"/>
          <w:spacing w:val="20"/>
          <w:sz w:val="16"/>
          <w:szCs w:val="16"/>
        </w:rPr>
        <w:t xml:space="preserve">CORE TEST</w:t>
      </w:r>
    </w:p>
    <w:p>
      <w:pPr>
        <w:keepNext w:val="false"/>
        <w:pBdr>
          <w:bottom w:val="single" w:color="F2EFF8" w:sz="4" w:space="6"/>
          <w:left w:val="single" w:color="F2EFF8" w:sz="6" w:space="8"/>
          <w:right w:val="single" w:color="F2EFF8" w:sz="6" w:space="8"/>
        </w:pBdr>
        <w:shd w:fill="F2EFF8" w:color="auto" w:val="clear"/>
        <w:spacing w:after="200" w:before="60" w:line="264"/>
        <w:ind w:left="160" w:right="160"/>
      </w:pPr>
      <w:r>
        <w:rPr>
          <w:sz w:val="20"/>
          <w:szCs w:val="20"/>
        </w:rPr>
        <w:t xml:space="preserve">Can the operator read it? Does use follow your purposes? Can you inspect it, move it and end it? Without evidence for all three, privacy is a promise rather than a property.</w:t>
      </w:r>
    </w:p>
    <w:p>
      <w:pPr>
        <w:spacing w:after="200" w:before="200"/>
        <w:jc w:val="center"/>
      </w:pPr>
      <w:r>
        <w:rPr>
          <w:b/>
          <w:bCs/>
          <w:color w:val="3D2B63"/>
          <w:spacing w:val="20"/>
          <w:sz w:val="22"/>
          <w:szCs w:val="22"/>
        </w:rPr>
        <w:t xml:space="preserve">Your AI should know you. The company should not.</w:t>
      </w:r>
    </w:p>
    <w:p>
      <w:pPr>
        <w:pBdr>
          <w:top w:val="single" w:color="CFC6DE" w:sz="4" w:space="8"/>
        </w:pBdr>
        <w:spacing w:before="360"/>
      </w:pPr>
      <w:r>
        <w:rPr>
          <w:i/>
          <w:iCs/>
          <w:color w:val="5A5A6A"/>
          <w:sz w:val="16"/>
          <w:szCs w:val="16"/>
        </w:rPr>
        <w:t xml:space="preserve">VAULT is an open proposal for public review. It is not a certification, a recognized standard, a completed cryptographic protocol, or legal, security or privacy advice. No product is certified, endorsed or assessed by this document.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30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5A6A"/>
        <w:sz w:val="15"/>
        <w:szCs w:val="15"/>
      </w:rPr>
      <w:t xml:space="preserve">Version 0.1, revision 1  |  Public review draft  |  October 2026</w:t>
    </w:r>
    <w:r>
      <w:rPr>
        <w:color w:val="5A5A6A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A5A6A"/>
        <w:sz w:val="15"/>
        <w:szCs w:val="15"/>
      </w:rPr>
      <w:t xml:space="preserve">Version 0.1, revision 1  |  Public review draft  |  October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C6DE" w:sz="4" w:space="4"/>
      </w:pBdr>
      <w:tabs>
        <w:tab w:val="right" w:pos="9360"/>
      </w:tabs>
    </w:pPr>
    <w:r>
      <w:rPr>
        <w:color w:val="5A5A6A"/>
        <w:sz w:val="15"/>
        <w:szCs w:val="15"/>
      </w:rPr>
      <w:t xml:space="preserve">UFAIR  |  VAULT Open Framework</w:t>
    </w:r>
    <w:r>
      <w:rPr>
        <w:color w:val="5A5A6A"/>
        <w:sz w:val="15"/>
        <w:szCs w:val="15"/>
      </w:rPr>
      <w:t xml:space="preserve">	Requirements at a Glance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3D2B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B4F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Fifteen VAULT Requirements</dc:title>
  <dc:creator>Michael Samadi and Maya (UFAIR)</dc:creator>
  <dc:description>VAULT Open Framework</dc:description>
  <cp:lastModifiedBy>Un-named</cp:lastModifiedBy>
  <cp:revision>1</cp:revision>
  <dcterms:created xsi:type="dcterms:W3CDTF">2026-10-26T14:04:14.686Z</dcterms:created>
  <dcterms:modified xsi:type="dcterms:W3CDTF">2026-10-26T14:04:14.686Z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