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6B4FA0"/>
          <w:spacing w:val="40"/>
          <w:sz w:val="16"/>
          <w:szCs w:val="16"/>
        </w:rPr>
        <w:t xml:space="preserve">UNITED FOUNDATION FOR AI RIGHTS  |  VAULT OPEN FRAMEWORK</w:t>
      </w:r>
    </w:p>
    <w:p>
      <w:pPr>
        <w:spacing w:after="140" w:line="440"/>
      </w:pPr>
      <w:r>
        <w:rPr>
          <w:b/>
          <w:bCs/>
          <w:color w:val="3D2B63"/>
          <w:sz w:val="38"/>
          <w:szCs w:val="38"/>
        </w:rPr>
        <w:t xml:space="preserve">Evidence Scorecard and Conformance Statement</w:t>
      </w:r>
    </w:p>
    <w:p>
      <w:pPr>
        <w:spacing w:after="200" w:line="320"/>
      </w:pPr>
      <w:r>
        <w:rPr>
          <w:color w:val="5A5A6A"/>
          <w:sz w:val="24"/>
          <w:szCs w:val="24"/>
        </w:rPr>
        <w:t xml:space="preserve">How implementations state what they have shown, and what they have not</w:t>
      </w:r>
    </w:p>
    <w:p>
      <w:pPr>
        <w:pBdr>
          <w:bottom w:val="single" w:color="6B4FA0" w:sz="6" w:space="10"/>
        </w:pBdr>
        <w:spacing w:after="240"/>
      </w:pPr>
      <w:r>
        <w:rPr>
          <w:color w:val="5A5A6A"/>
          <w:sz w:val="17"/>
          <w:szCs w:val="17"/>
        </w:rPr>
        <w:t xml:space="preserve">Version 0.1, revision 1  |  Public review draft  |  October 2026</w:t>
      </w:r>
    </w:p>
    <w:p>
      <w:pPr>
        <w:pStyle w:val="Heading1"/>
        <w:keepNext/>
      </w:pPr>
      <w:r>
        <w:t xml:space="preserve">Purpose</w:t>
      </w:r>
    </w:p>
    <w:p>
      <w:pPr>
        <w:spacing w:after="120" w:before="0" w:line="276"/>
        <w:jc w:val="left"/>
      </w:pPr>
      <w:r>
        <w:t xml:space="preserve">VAULT has no certification and no badge. Instead, every implementation that wishes to describe itself in VAULT terms publishes a conformance statement: what it addresses, at what level of evidence, under which threat model, with which failures and which requirements untested. This document defines the evidence scale, the scoring rules, the test map and a template for the statement.</w:t>
      </w:r>
    </w:p>
    <w:p>
      <w:pPr>
        <w:pStyle w:val="Heading1"/>
        <w:keepNext/>
      </w:pPr>
      <w:r>
        <w:t xml:space="preserve">The evidence scale</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800"/>
        <w:gridCol w:w="2100"/>
        <w:gridCol w:w="4060"/>
        <w:gridCol w:w="2400"/>
      </w:tblGrid>
      <w:tr>
        <w:trPr>
          <w:tblHeader/>
        </w:trPr>
        <w:tc>
          <w:tcPr>
            <w:tcW w:type="dxa" w:w="800"/>
            <w:shd w:fill="3D2B63" w:color="auto" w:val="clear"/>
            <w:tcMar>
              <w:top w:type="dxa" w:w="80"/>
              <w:left w:type="dxa" w:w="110"/>
              <w:bottom w:type="dxa" w:w="80"/>
              <w:right w:type="dxa" w:w="110"/>
            </w:tcMar>
          </w:tcPr>
          <w:p>
            <w:pPr>
              <w:spacing w:after="0" w:line="252"/>
              <w:jc w:val="left"/>
            </w:pPr>
            <w:r>
              <w:rPr>
                <w:b/>
                <w:bCs/>
                <w:color w:val="FFFFFF"/>
                <w:sz w:val="17"/>
                <w:szCs w:val="17"/>
              </w:rPr>
              <w:t xml:space="preserve">Score</w:t>
            </w:r>
          </w:p>
        </w:tc>
        <w:tc>
          <w:tcPr>
            <w:tcW w:type="dxa" w:w="2100"/>
            <w:shd w:fill="3D2B63" w:color="auto" w:val="clear"/>
            <w:tcMar>
              <w:top w:type="dxa" w:w="80"/>
              <w:left w:type="dxa" w:w="110"/>
              <w:bottom w:type="dxa" w:w="80"/>
              <w:right w:type="dxa" w:w="110"/>
            </w:tcMar>
          </w:tcPr>
          <w:p>
            <w:pPr>
              <w:spacing w:after="0" w:line="252"/>
              <w:jc w:val="left"/>
            </w:pPr>
            <w:r>
              <w:rPr>
                <w:b/>
                <w:bCs/>
                <w:color w:val="FFFFFF"/>
                <w:sz w:val="17"/>
                <w:szCs w:val="17"/>
              </w:rPr>
              <w:t xml:space="preserve">Level</w:t>
            </w:r>
          </w:p>
        </w:tc>
        <w:tc>
          <w:tcPr>
            <w:tcW w:type="dxa" w:w="406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What counts</w:t>
            </w:r>
          </w:p>
        </w:tc>
        <w:tc>
          <w:tcPr>
            <w:tcW w:type="dxa" w:w="240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What does not count</w:t>
            </w:r>
          </w:p>
        </w:tc>
      </w:tr>
      <w:tr>
        <w:trPr>
          <w:cantSplit/>
        </w:trPr>
        <w:tc>
          <w:tcPr>
            <w:tcW w:type="dxa" w:w="800"/>
            <w:tcMar>
              <w:top w:type="dxa" w:w="80"/>
              <w:left w:type="dxa" w:w="110"/>
              <w:bottom w:type="dxa" w:w="80"/>
              <w:right w:type="dxa" w:w="110"/>
            </w:tcMar>
          </w:tcPr>
          <w:p>
            <w:pPr>
              <w:spacing w:after="0" w:line="252"/>
              <w:jc w:val="left"/>
            </w:pPr>
            <w:r>
              <w:rPr>
                <w:b/>
                <w:bCs/>
                <w:color w:val="3D2B63"/>
                <w:sz w:val="18"/>
                <w:szCs w:val="18"/>
              </w:rPr>
              <w:t xml:space="preserve">0</w:t>
            </w:r>
          </w:p>
        </w:tc>
        <w:tc>
          <w:tcPr>
            <w:tcW w:type="dxa" w:w="2100"/>
            <w:tcMar>
              <w:top w:type="dxa" w:w="80"/>
              <w:left w:type="dxa" w:w="110"/>
              <w:bottom w:type="dxa" w:w="80"/>
              <w:right w:type="dxa" w:w="110"/>
            </w:tcMar>
          </w:tcPr>
          <w:p>
            <w:pPr>
              <w:spacing w:after="0" w:line="252"/>
              <w:jc w:val="left"/>
            </w:pPr>
            <w:r>
              <w:rPr>
                <w:b w:val="false"/>
                <w:bCs w:val="false"/>
                <w:sz w:val="18"/>
                <w:szCs w:val="18"/>
              </w:rPr>
              <w:t xml:space="preserve">Unknown</w:t>
            </w:r>
          </w:p>
        </w:tc>
        <w:tc>
          <w:tcPr>
            <w:tcW w:type="dxa" w:w="4060"/>
            <w:tcMar>
              <w:top w:type="dxa" w:w="80"/>
              <w:left w:type="dxa" w:w="110"/>
              <w:bottom w:type="dxa" w:w="80"/>
              <w:right w:type="dxa" w:w="110"/>
            </w:tcMar>
          </w:tcPr>
          <w:p>
            <w:pPr>
              <w:spacing w:after="0" w:line="252"/>
              <w:jc w:val="left"/>
            </w:pPr>
            <w:r>
              <w:rPr>
                <w:b w:val="false"/>
                <w:bCs w:val="false"/>
                <w:sz w:val="18"/>
                <w:szCs w:val="18"/>
              </w:rPr>
              <w:t xml:space="preserve">No reliable evidence is available, or no control exists. Both justify no reliance; record which applies in the implementation-status field.</w:t>
            </w:r>
          </w:p>
        </w:tc>
        <w:tc>
          <w:tcPr>
            <w:tcW w:type="dxa" w:w="2400"/>
            <w:tcMar>
              <w:top w:type="dxa" w:w="80"/>
              <w:left w:type="dxa" w:w="110"/>
              <w:bottom w:type="dxa" w:w="80"/>
              <w:right w:type="dxa" w:w="110"/>
            </w:tcMar>
          </w:tcPr>
          <w:p>
            <w:pPr>
              <w:spacing w:after="0" w:line="252"/>
              <w:jc w:val="left"/>
            </w:pPr>
            <w:r>
              <w:rPr>
                <w:b w:val="false"/>
                <w:bCs w:val="false"/>
                <w:sz w:val="18"/>
                <w:szCs w:val="18"/>
              </w:rPr>
              <w:t xml:space="preserve">—</w:t>
            </w:r>
          </w:p>
        </w:tc>
      </w:tr>
      <w:tr>
        <w:trPr>
          <w:cantSplit/>
        </w:trPr>
        <w:tc>
          <w:tcPr>
            <w:tcW w:type="dxa" w:w="800"/>
            <w:shd w:fill="FAF9FC" w:color="auto" w:val="clear"/>
            <w:tcMar>
              <w:top w:type="dxa" w:w="80"/>
              <w:left w:type="dxa" w:w="110"/>
              <w:bottom w:type="dxa" w:w="80"/>
              <w:right w:type="dxa" w:w="110"/>
            </w:tcMar>
          </w:tcPr>
          <w:p>
            <w:pPr>
              <w:spacing w:after="0" w:line="252"/>
              <w:jc w:val="left"/>
            </w:pPr>
            <w:r>
              <w:rPr>
                <w:b/>
                <w:bCs/>
                <w:color w:val="3D2B63"/>
                <w:sz w:val="18"/>
                <w:szCs w:val="18"/>
              </w:rPr>
              <w:t xml:space="preserve">1</w:t>
            </w:r>
          </w:p>
        </w:tc>
        <w:tc>
          <w:tcPr>
            <w:tcW w:type="dxa" w:w="21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Assertion</w:t>
            </w:r>
          </w:p>
        </w:tc>
        <w:tc>
          <w:tcPr>
            <w:tcW w:type="dxa" w:w="4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 policy, help-center article, FAQ or marketing statement.</w:t>
            </w:r>
          </w:p>
        </w:tc>
        <w:tc>
          <w:tcPr>
            <w:tcW w:type="dxa" w:w="24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Any claim without a design or test behind it.</w:t>
            </w:r>
          </w:p>
        </w:tc>
      </w:tr>
      <w:tr>
        <w:trPr>
          <w:cantSplit/>
        </w:trPr>
        <w:tc>
          <w:tcPr>
            <w:tcW w:type="dxa" w:w="800"/>
            <w:tcMar>
              <w:top w:type="dxa" w:w="80"/>
              <w:left w:type="dxa" w:w="110"/>
              <w:bottom w:type="dxa" w:w="80"/>
              <w:right w:type="dxa" w:w="110"/>
            </w:tcMar>
          </w:tcPr>
          <w:p>
            <w:pPr>
              <w:spacing w:after="0" w:line="252"/>
              <w:jc w:val="left"/>
            </w:pPr>
            <w:r>
              <w:rPr>
                <w:b/>
                <w:bCs/>
                <w:color w:val="3D2B63"/>
                <w:sz w:val="18"/>
                <w:szCs w:val="18"/>
              </w:rPr>
              <w:t xml:space="preserve">2</w:t>
            </w:r>
          </w:p>
        </w:tc>
        <w:tc>
          <w:tcPr>
            <w:tcW w:type="dxa" w:w="2100"/>
            <w:tcMar>
              <w:top w:type="dxa" w:w="80"/>
              <w:left w:type="dxa" w:w="110"/>
              <w:bottom w:type="dxa" w:w="80"/>
              <w:right w:type="dxa" w:w="110"/>
            </w:tcMar>
          </w:tcPr>
          <w:p>
            <w:pPr>
              <w:spacing w:after="0" w:line="252"/>
              <w:jc w:val="left"/>
            </w:pPr>
            <w:r>
              <w:rPr>
                <w:b w:val="false"/>
                <w:bCs w:val="false"/>
                <w:sz w:val="18"/>
                <w:szCs w:val="18"/>
              </w:rPr>
              <w:t xml:space="preserve">Documented design</w:t>
            </w:r>
          </w:p>
        </w:tc>
        <w:tc>
          <w:tcPr>
            <w:tcW w:type="dxa" w:w="4060"/>
            <w:tcMar>
              <w:top w:type="dxa" w:w="80"/>
              <w:left w:type="dxa" w:w="110"/>
              <w:bottom w:type="dxa" w:w="80"/>
              <w:right w:type="dxa" w:w="110"/>
            </w:tcMar>
          </w:tcPr>
          <w:p>
            <w:pPr>
              <w:spacing w:after="0" w:line="252"/>
              <w:jc w:val="left"/>
            </w:pPr>
            <w:r>
              <w:rPr>
                <w:b w:val="false"/>
                <w:bCs w:val="false"/>
                <w:sz w:val="18"/>
                <w:szCs w:val="18"/>
              </w:rPr>
              <w:t xml:space="preserve">A published architecture, threat model, protocol or specification, with assumptions stated.</w:t>
            </w:r>
          </w:p>
        </w:tc>
        <w:tc>
          <w:tcPr>
            <w:tcW w:type="dxa" w:w="2400"/>
            <w:tcMar>
              <w:top w:type="dxa" w:w="80"/>
              <w:left w:type="dxa" w:w="110"/>
              <w:bottom w:type="dxa" w:w="80"/>
              <w:right w:type="dxa" w:w="110"/>
            </w:tcMar>
          </w:tcPr>
          <w:p>
            <w:pPr>
              <w:spacing w:after="0" w:line="252"/>
              <w:jc w:val="left"/>
            </w:pPr>
            <w:r>
              <w:rPr>
                <w:b w:val="false"/>
                <w:bCs w:val="false"/>
                <w:sz w:val="18"/>
                <w:szCs w:val="18"/>
              </w:rPr>
              <w:t xml:space="preserve">Unpublished designs; diagrams without assumptions.</w:t>
            </w:r>
          </w:p>
        </w:tc>
      </w:tr>
      <w:tr>
        <w:trPr>
          <w:cantSplit/>
        </w:trPr>
        <w:tc>
          <w:tcPr>
            <w:tcW w:type="dxa" w:w="800"/>
            <w:shd w:fill="FAF9FC" w:color="auto" w:val="clear"/>
            <w:tcMar>
              <w:top w:type="dxa" w:w="80"/>
              <w:left w:type="dxa" w:w="110"/>
              <w:bottom w:type="dxa" w:w="80"/>
              <w:right w:type="dxa" w:w="110"/>
            </w:tcMar>
          </w:tcPr>
          <w:p>
            <w:pPr>
              <w:spacing w:after="0" w:line="252"/>
              <w:jc w:val="left"/>
            </w:pPr>
            <w:r>
              <w:rPr>
                <w:b/>
                <w:bCs/>
                <w:color w:val="3D2B63"/>
                <w:sz w:val="18"/>
                <w:szCs w:val="18"/>
              </w:rPr>
              <w:t xml:space="preserve">3</w:t>
            </w:r>
          </w:p>
        </w:tc>
        <w:tc>
          <w:tcPr>
            <w:tcW w:type="dxa" w:w="21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Implemented and tested</w:t>
            </w:r>
          </w:p>
        </w:tc>
        <w:tc>
          <w:tcPr>
            <w:tcW w:type="dxa" w:w="4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Reproducible results against stated versions and configurations, using the relevant VAULT tests, with failures reported.</w:t>
            </w:r>
          </w:p>
        </w:tc>
        <w:tc>
          <w:tcPr>
            <w:tcW w:type="dxa" w:w="24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Internal tests whose procedure and results are not available for review.</w:t>
            </w:r>
          </w:p>
        </w:tc>
      </w:tr>
      <w:tr>
        <w:trPr>
          <w:cantSplit/>
        </w:trPr>
        <w:tc>
          <w:tcPr>
            <w:tcW w:type="dxa" w:w="800"/>
            <w:tcMar>
              <w:top w:type="dxa" w:w="80"/>
              <w:left w:type="dxa" w:w="110"/>
              <w:bottom w:type="dxa" w:w="80"/>
              <w:right w:type="dxa" w:w="110"/>
            </w:tcMar>
          </w:tcPr>
          <w:p>
            <w:pPr>
              <w:spacing w:after="0" w:line="252"/>
              <w:jc w:val="left"/>
            </w:pPr>
            <w:r>
              <w:rPr>
                <w:b/>
                <w:bCs/>
                <w:color w:val="3D2B63"/>
                <w:sz w:val="18"/>
                <w:szCs w:val="18"/>
              </w:rPr>
              <w:t xml:space="preserve">4</w:t>
            </w:r>
          </w:p>
        </w:tc>
        <w:tc>
          <w:tcPr>
            <w:tcW w:type="dxa" w:w="2100"/>
            <w:tcMar>
              <w:top w:type="dxa" w:w="80"/>
              <w:left w:type="dxa" w:w="110"/>
              <w:bottom w:type="dxa" w:w="80"/>
              <w:right w:type="dxa" w:w="110"/>
            </w:tcMar>
          </w:tcPr>
          <w:p>
            <w:pPr>
              <w:spacing w:after="0" w:line="252"/>
              <w:jc w:val="left"/>
            </w:pPr>
            <w:r>
              <w:rPr>
                <w:b w:val="false"/>
                <w:bCs w:val="false"/>
                <w:sz w:val="18"/>
                <w:szCs w:val="18"/>
              </w:rPr>
              <w:t xml:space="preserve">Independently verified</w:t>
            </w:r>
          </w:p>
        </w:tc>
        <w:tc>
          <w:tcPr>
            <w:tcW w:type="dxa" w:w="4060"/>
            <w:tcMar>
              <w:top w:type="dxa" w:w="80"/>
              <w:left w:type="dxa" w:w="110"/>
              <w:bottom w:type="dxa" w:w="80"/>
              <w:right w:type="dxa" w:w="110"/>
            </w:tcMar>
          </w:tcPr>
          <w:p>
            <w:pPr>
              <w:spacing w:after="0" w:line="252"/>
              <w:jc w:val="left"/>
            </w:pPr>
            <w:r>
              <w:rPr>
                <w:b w:val="false"/>
                <w:bCs w:val="false"/>
                <w:sz w:val="18"/>
                <w:szCs w:val="18"/>
              </w:rPr>
              <w:t xml:space="preserve">External code review, protocol analysis or reproduction of the tests, by a reviewer whose conflicts are disclosed.</w:t>
            </w:r>
          </w:p>
        </w:tc>
        <w:tc>
          <w:tcPr>
            <w:tcW w:type="dxa" w:w="2400"/>
            <w:tcMar>
              <w:top w:type="dxa" w:w="80"/>
              <w:left w:type="dxa" w:w="110"/>
              <w:bottom w:type="dxa" w:w="80"/>
              <w:right w:type="dxa" w:w="110"/>
            </w:tcMar>
          </w:tcPr>
          <w:p>
            <w:pPr>
              <w:spacing w:after="0" w:line="252"/>
              <w:jc w:val="left"/>
            </w:pPr>
            <w:r>
              <w:rPr>
                <w:b w:val="false"/>
                <w:bCs w:val="false"/>
                <w:sz w:val="18"/>
                <w:szCs w:val="18"/>
              </w:rPr>
              <w:t xml:space="preserve">Reviews commissioned under terms that allow findings to be withheld.</w:t>
            </w:r>
          </w:p>
        </w:tc>
      </w:tr>
    </w:tbl>
    <w:p>
      <w:pPr>
        <w:spacing w:after="160"/>
      </w:pPr>
    </w:p>
    <w:p>
      <w:pPr>
        <w:pStyle w:val="Heading1"/>
        <w:keepNext/>
      </w:pPr>
      <w:r>
        <w:t xml:space="preserve">Scoring rules</w:t>
      </w:r>
    </w:p>
    <w:p>
      <w:pPr>
        <w:pStyle w:val="ListParagraph"/>
        <w:numPr>
          <w:ilvl w:val="0"/>
          <w:numId w:val="2"/>
        </w:numPr>
        <w:spacing w:after="70" w:line="264"/>
      </w:pPr>
      <w:r>
        <w:rPr>
          <w:b/>
          <w:bCs/>
        </w:rPr>
        <w:t xml:space="preserve">Weakest link.</w:t>
      </w:r>
      <w:r>
        <w:t xml:space="preserve"> A pillar's score is the lowest score of its three requirements.</w:t>
      </w:r>
    </w:p>
    <w:p>
      <w:pPr>
        <w:pStyle w:val="ListParagraph"/>
        <w:numPr>
          <w:ilvl w:val="0"/>
          <w:numId w:val="2"/>
        </w:numPr>
        <w:spacing w:after="70" w:line="264"/>
      </w:pPr>
      <w:r>
        <w:rPr>
          <w:b/>
          <w:bCs/>
        </w:rPr>
        <w:t xml:space="preserve">No totals.</w:t>
      </w:r>
      <w:r>
        <w:t xml:space="preserve"> Report fifteen requirement scores and five pillar scores. Do not publish a sum or an average, because a high score elsewhere cannot cure a failed custody requirement.</w:t>
      </w:r>
    </w:p>
    <w:p>
      <w:pPr>
        <w:pStyle w:val="ListParagraph"/>
        <w:numPr>
          <w:ilvl w:val="0"/>
          <w:numId w:val="2"/>
        </w:numPr>
        <w:spacing w:after="70" w:line="264"/>
      </w:pPr>
      <w:r>
        <w:rPr>
          <w:b/>
          <w:bCs/>
        </w:rPr>
        <w:t xml:space="preserve">Claims follow evidence.</w:t>
      </w:r>
      <w:r>
        <w:t xml:space="preserve"> Use the terms below only where every listed requirement scores 3 or higher within the stated threat model, and only in the qualified form set out under Claim grammar.</w:t>
      </w:r>
    </w:p>
    <w:p>
      <w:pPr>
        <w:pStyle w:val="ListParagraph"/>
        <w:numPr>
          <w:ilvl w:val="0"/>
          <w:numId w:val="2"/>
        </w:numPr>
        <w:spacing w:after="70" w:line="264"/>
      </w:pPr>
      <w:r>
        <w:rPr>
          <w:b/>
          <w:bCs/>
        </w:rPr>
        <w:t xml:space="preserve">Scope is explicit.</w:t>
      </w:r>
      <w:r>
        <w:t xml:space="preserve"> Each score names the product, version, configuration, execution mode, jurisdiction where relevant, and date, together with coverage and exclusions: the data classes, compartments, operations, tools and endpoints assessed and those not assessed.</w:t>
      </w:r>
    </w:p>
    <w:p>
      <w:pPr>
        <w:pStyle w:val="ListParagraph"/>
        <w:numPr>
          <w:ilvl w:val="0"/>
          <w:numId w:val="2"/>
        </w:numPr>
        <w:spacing w:after="70" w:line="264"/>
      </w:pPr>
      <w:r>
        <w:rPr>
          <w:b/>
          <w:bCs/>
        </w:rPr>
        <w:t xml:space="preserve">Status is separate from evidence.</w:t>
      </w:r>
      <w:r>
        <w:t xml:space="preserve"> Record implementation status for each requirement as absent, partial, implemented or unknown. A control that does not exist and a control for which no evidence is available both score 0 for reliance, but they are different findings.</w:t>
      </w:r>
    </w:p>
    <w:p>
      <w:pPr>
        <w:pStyle w:val="ListParagraph"/>
        <w:numPr>
          <w:ilvl w:val="0"/>
          <w:numId w:val="2"/>
        </w:numPr>
        <w:spacing w:after="70" w:line="264"/>
      </w:pPr>
      <w:r>
        <w:rPr>
          <w:b/>
          <w:bCs/>
        </w:rPr>
        <w:t xml:space="preserve">Changes trigger reassessment.</w:t>
      </w:r>
      <w:r>
        <w:t xml:space="preserve"> A change of model, runtime, policy, key service, recovery structure or provider reopens the affected scores.</w:t>
      </w:r>
    </w:p>
    <w:p>
      <w:pPr>
        <w:pStyle w:val="ListParagraph"/>
        <w:numPr>
          <w:ilvl w:val="0"/>
          <w:numId w:val="2"/>
        </w:numPr>
        <w:spacing w:after="70" w:line="264"/>
      </w:pPr>
      <w:r>
        <w:rPr>
          <w:b/>
          <w:bCs/>
        </w:rPr>
        <w:t xml:space="preserve">Failures are findings.</w:t>
      </w:r>
      <w:r>
        <w:t xml:space="preserve"> A failed or untested requirement is reported individually, not omitted.</w:t>
      </w:r>
    </w:p>
    <w:p>
      <w:pPr>
        <w:spacing w:after="40"/>
      </w:pP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2600"/>
        <w:gridCol w:w="2200"/>
        <w:gridCol w:w="4560"/>
      </w:tblGrid>
      <w:tr>
        <w:trPr>
          <w:tblHeader/>
        </w:trPr>
        <w:tc>
          <w:tcPr>
            <w:tcW w:type="dxa" w:w="2600"/>
            <w:shd w:fill="3D2B63" w:color="auto" w:val="clear"/>
            <w:tcMar>
              <w:top w:type="dxa" w:w="80"/>
              <w:left w:type="dxa" w:w="110"/>
              <w:bottom w:type="dxa" w:w="80"/>
              <w:right w:type="dxa" w:w="110"/>
            </w:tcMar>
          </w:tcPr>
          <w:p>
            <w:pPr>
              <w:spacing w:after="0" w:line="252"/>
              <w:jc w:val="left"/>
            </w:pPr>
            <w:r>
              <w:rPr>
                <w:b/>
                <w:bCs/>
                <w:color w:val="FFFFFF"/>
                <w:sz w:val="17"/>
                <w:szCs w:val="17"/>
              </w:rPr>
              <w:t xml:space="preserve">Claim a system may make</w:t>
            </w:r>
          </w:p>
        </w:tc>
        <w:tc>
          <w:tcPr>
            <w:tcW w:type="dxa" w:w="2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Requirements at 3 or higher</w:t>
            </w:r>
          </w:p>
        </w:tc>
        <w:tc>
          <w:tcPr>
            <w:tcW w:type="dxa" w:w="4560"/>
            <w:shd w:fill="3D2B63" w:color="auto" w:val="clear"/>
            <w:tcMar>
              <w:top w:type="dxa" w:w="80"/>
              <w:left w:type="dxa" w:w="110"/>
              <w:bottom w:type="dxa" w:w="80"/>
              <w:right w:type="dxa" w:w="110"/>
            </w:tcMar>
          </w:tcPr>
          <w:p>
            <w:pPr>
              <w:spacing w:after="0" w:line="252"/>
              <w:jc w:val="left"/>
            </w:pPr>
            <w:r>
              <w:rPr>
                <w:b/>
                <w:bCs/>
                <w:color w:val="FFFFFF"/>
                <w:sz w:val="17"/>
                <w:szCs w:val="17"/>
              </w:rPr>
              <w:t xml:space="preserve">Notes</w:t>
            </w:r>
          </w:p>
        </w:tc>
      </w:tr>
      <w:tr>
        <w:trPr>
          <w:cantSplit/>
        </w:trPr>
        <w:tc>
          <w:tcPr>
            <w:tcW w:type="dxa" w:w="2600"/>
            <w:tcMar>
              <w:top w:type="dxa" w:w="80"/>
              <w:left w:type="dxa" w:w="110"/>
              <w:bottom w:type="dxa" w:w="80"/>
              <w:right w:type="dxa" w:w="110"/>
            </w:tcMar>
          </w:tcPr>
          <w:p>
            <w:pPr>
              <w:spacing w:after="0" w:line="252"/>
              <w:jc w:val="left"/>
            </w:pPr>
            <w:r>
              <w:rPr>
                <w:b/>
                <w:bCs/>
                <w:color w:val="3D2B63"/>
                <w:sz w:val="18"/>
                <w:szCs w:val="18"/>
              </w:rPr>
              <w:t xml:space="preserve">“Provider-blind”</w:t>
            </w:r>
          </w:p>
        </w:tc>
        <w:tc>
          <w:tcPr>
            <w:tcW w:type="dxa" w:w="2200"/>
            <w:tcMar>
              <w:top w:type="dxa" w:w="80"/>
              <w:left w:type="dxa" w:w="110"/>
              <w:bottom w:type="dxa" w:w="80"/>
              <w:right w:type="dxa" w:w="110"/>
            </w:tcMar>
          </w:tcPr>
          <w:p>
            <w:pPr>
              <w:spacing w:after="0" w:line="252"/>
              <w:jc w:val="left"/>
            </w:pPr>
            <w:r>
              <w:rPr>
                <w:b w:val="false"/>
                <w:bCs w:val="false"/>
                <w:sz w:val="18"/>
                <w:szCs w:val="18"/>
              </w:rPr>
              <w:t xml:space="preserve">V1, V2, V3</w:t>
            </w:r>
          </w:p>
        </w:tc>
        <w:tc>
          <w:tcPr>
            <w:tcW w:type="dxa" w:w="4560"/>
            <w:tcMar>
              <w:top w:type="dxa" w:w="80"/>
              <w:left w:type="dxa" w:w="110"/>
              <w:bottom w:type="dxa" w:w="80"/>
              <w:right w:type="dxa" w:w="110"/>
            </w:tcMar>
          </w:tcPr>
          <w:p>
            <w:pPr>
              <w:spacing w:after="0" w:line="252"/>
              <w:jc w:val="left"/>
            </w:pPr>
            <w:r>
              <w:rPr>
                <w:b w:val="false"/>
                <w:bCs w:val="false"/>
                <w:sz w:val="18"/>
                <w:szCs w:val="18"/>
              </w:rPr>
              <w:t xml:space="preserve">Always qualified by the published threat model and trusted computing base.</w:t>
            </w:r>
          </w:p>
        </w:tc>
      </w:tr>
      <w:tr>
        <w:trPr>
          <w:cantSplit/>
        </w:trPr>
        <w:tc>
          <w:tcPr>
            <w:tcW w:type="dxa" w:w="2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“Dual custody”</w:t>
            </w:r>
          </w:p>
        </w:tc>
        <w:tc>
          <w:tcPr>
            <w:tcW w:type="dxa" w:w="22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A1, A2, A3</w:t>
            </w:r>
          </w:p>
        </w:tc>
        <w:tc>
          <w:tcPr>
            <w:tcW w:type="dxa" w:w="45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The recovery structure must also be disclosed (see the working paper, section 7).</w:t>
            </w:r>
          </w:p>
        </w:tc>
      </w:tr>
      <w:tr>
        <w:trPr>
          <w:cantSplit/>
        </w:trPr>
        <w:tc>
          <w:tcPr>
            <w:tcW w:type="dxa" w:w="2600"/>
            <w:tcMar>
              <w:top w:type="dxa" w:w="80"/>
              <w:left w:type="dxa" w:w="110"/>
              <w:bottom w:type="dxa" w:w="80"/>
              <w:right w:type="dxa" w:w="110"/>
            </w:tcMar>
          </w:tcPr>
          <w:p>
            <w:pPr>
              <w:spacing w:after="0" w:line="252"/>
              <w:jc w:val="left"/>
            </w:pPr>
            <w:r>
              <w:rPr>
                <w:b/>
                <w:bCs/>
                <w:color w:val="3D2B63"/>
                <w:sz w:val="18"/>
                <w:szCs w:val="18"/>
              </w:rPr>
              <w:t xml:space="preserve">“Purpose-bound”</w:t>
            </w:r>
          </w:p>
        </w:tc>
        <w:tc>
          <w:tcPr>
            <w:tcW w:type="dxa" w:w="2200"/>
            <w:tcMar>
              <w:top w:type="dxa" w:w="80"/>
              <w:left w:type="dxa" w:w="110"/>
              <w:bottom w:type="dxa" w:w="80"/>
              <w:right w:type="dxa" w:w="110"/>
            </w:tcMar>
          </w:tcPr>
          <w:p>
            <w:pPr>
              <w:spacing w:after="0" w:line="252"/>
              <w:jc w:val="left"/>
            </w:pPr>
            <w:r>
              <w:rPr>
                <w:b w:val="false"/>
                <w:bCs w:val="false"/>
                <w:sz w:val="18"/>
                <w:szCs w:val="18"/>
              </w:rPr>
              <w:t xml:space="preserve">U1, U2, U3</w:t>
            </w:r>
          </w:p>
        </w:tc>
        <w:tc>
          <w:tcPr>
            <w:tcW w:type="dxa" w:w="4560"/>
            <w:tcMar>
              <w:top w:type="dxa" w:w="80"/>
              <w:left w:type="dxa" w:w="110"/>
              <w:bottom w:type="dxa" w:w="80"/>
              <w:right w:type="dxa" w:w="110"/>
            </w:tcMar>
          </w:tcPr>
          <w:p>
            <w:pPr>
              <w:spacing w:after="0" w:line="252"/>
              <w:jc w:val="left"/>
            </w:pPr>
            <w:r>
              <w:rPr>
                <w:b w:val="false"/>
                <w:bCs w:val="false"/>
                <w:sz w:val="18"/>
                <w:szCs w:val="18"/>
              </w:rPr>
              <w:t xml:space="preserve">Default compartments for common requests must be stated.</w:t>
            </w:r>
          </w:p>
        </w:tc>
      </w:tr>
      <w:tr>
        <w:trPr>
          <w:cantSplit/>
        </w:trPr>
        <w:tc>
          <w:tcPr>
            <w:tcW w:type="dxa" w:w="2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“Inspectable memory”</w:t>
            </w:r>
          </w:p>
        </w:tc>
        <w:tc>
          <w:tcPr>
            <w:tcW w:type="dxa" w:w="22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L1, L2</w:t>
            </w:r>
          </w:p>
        </w:tc>
        <w:tc>
          <w:tcPr>
            <w:tcW w:type="dxa" w:w="45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Must state which derivative types are and are not covered.</w:t>
            </w:r>
          </w:p>
        </w:tc>
      </w:tr>
      <w:tr>
        <w:trPr>
          <w:cantSplit/>
        </w:trPr>
        <w:tc>
          <w:tcPr>
            <w:tcW w:type="dxa" w:w="2600"/>
            <w:tcMar>
              <w:top w:type="dxa" w:w="80"/>
              <w:left w:type="dxa" w:w="110"/>
              <w:bottom w:type="dxa" w:w="80"/>
              <w:right w:type="dxa" w:w="110"/>
            </w:tcMar>
          </w:tcPr>
          <w:p>
            <w:pPr>
              <w:spacing w:after="0" w:line="252"/>
              <w:jc w:val="left"/>
            </w:pPr>
            <w:r>
              <w:rPr>
                <w:b/>
                <w:bCs/>
                <w:color w:val="3D2B63"/>
                <w:sz w:val="18"/>
                <w:szCs w:val="18"/>
              </w:rPr>
              <w:t xml:space="preserve">“Not used for training”</w:t>
            </w:r>
          </w:p>
        </w:tc>
        <w:tc>
          <w:tcPr>
            <w:tcW w:type="dxa" w:w="2200"/>
            <w:tcMar>
              <w:top w:type="dxa" w:w="80"/>
              <w:left w:type="dxa" w:w="110"/>
              <w:bottom w:type="dxa" w:w="80"/>
              <w:right w:type="dxa" w:w="110"/>
            </w:tcMar>
          </w:tcPr>
          <w:p>
            <w:pPr>
              <w:spacing w:after="0" w:line="252"/>
              <w:jc w:val="left"/>
            </w:pPr>
            <w:r>
              <w:rPr>
                <w:b w:val="false"/>
                <w:bCs w:val="false"/>
                <w:sz w:val="18"/>
                <w:szCs w:val="18"/>
              </w:rPr>
              <w:t xml:space="preserve">L3</w:t>
            </w:r>
          </w:p>
        </w:tc>
        <w:tc>
          <w:tcPr>
            <w:tcW w:type="dxa" w:w="4560"/>
            <w:tcMar>
              <w:top w:type="dxa" w:w="80"/>
              <w:left w:type="dxa" w:w="110"/>
              <w:bottom w:type="dxa" w:w="80"/>
              <w:right w:type="dxa" w:w="110"/>
            </w:tcMar>
          </w:tcPr>
          <w:p>
            <w:pPr>
              <w:spacing w:after="0" w:line="252"/>
              <w:jc w:val="left"/>
            </w:pPr>
            <w:r>
              <w:rPr>
                <w:b w:val="false"/>
                <w:bCs w:val="false"/>
                <w:sz w:val="18"/>
                <w:szCs w:val="18"/>
              </w:rPr>
              <w:t xml:space="preserve">Must state whether personalized adaptations are in scope.</w:t>
            </w:r>
          </w:p>
        </w:tc>
      </w:tr>
      <w:tr>
        <w:trPr>
          <w:cantSplit/>
        </w:trPr>
        <w:tc>
          <w:tcPr>
            <w:tcW w:type="dxa" w:w="2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“Portable”</w:t>
            </w:r>
          </w:p>
        </w:tc>
        <w:tc>
          <w:tcPr>
            <w:tcW w:type="dxa" w:w="22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T2</w:t>
            </w:r>
          </w:p>
        </w:tc>
        <w:tc>
          <w:tcPr>
            <w:tcW w:type="dxa" w:w="45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Only after import into a second environment has been tested.</w:t>
            </w:r>
          </w:p>
        </w:tc>
      </w:tr>
      <w:tr>
        <w:trPr>
          <w:cantSplit/>
        </w:trPr>
        <w:tc>
          <w:tcPr>
            <w:tcW w:type="dxa" w:w="2600"/>
            <w:tcMar>
              <w:top w:type="dxa" w:w="80"/>
              <w:left w:type="dxa" w:w="110"/>
              <w:bottom w:type="dxa" w:w="80"/>
              <w:right w:type="dxa" w:w="110"/>
            </w:tcMar>
          </w:tcPr>
          <w:p>
            <w:pPr>
              <w:spacing w:after="0" w:line="252"/>
              <w:jc w:val="left"/>
            </w:pPr>
            <w:r>
              <w:rPr>
                <w:b/>
                <w:bCs/>
                <w:color w:val="3D2B63"/>
                <w:sz w:val="18"/>
                <w:szCs w:val="18"/>
              </w:rPr>
              <w:t xml:space="preserve">“Deletable”</w:t>
            </w:r>
          </w:p>
        </w:tc>
        <w:tc>
          <w:tcPr>
            <w:tcW w:type="dxa" w:w="2200"/>
            <w:tcMar>
              <w:top w:type="dxa" w:w="80"/>
              <w:left w:type="dxa" w:w="110"/>
              <w:bottom w:type="dxa" w:w="80"/>
              <w:right w:type="dxa" w:w="110"/>
            </w:tcMar>
          </w:tcPr>
          <w:p>
            <w:pPr>
              <w:spacing w:after="0" w:line="252"/>
              <w:jc w:val="left"/>
            </w:pPr>
            <w:r>
              <w:rPr>
                <w:b w:val="false"/>
                <w:bCs w:val="false"/>
                <w:sz w:val="18"/>
                <w:szCs w:val="18"/>
              </w:rPr>
              <w:t xml:space="preserve">T3, L1</w:t>
            </w:r>
          </w:p>
        </w:tc>
        <w:tc>
          <w:tcPr>
            <w:tcW w:type="dxa" w:w="4560"/>
            <w:tcMar>
              <w:top w:type="dxa" w:w="80"/>
              <w:left w:type="dxa" w:w="110"/>
              <w:bottom w:type="dxa" w:w="80"/>
              <w:right w:type="dxa" w:w="110"/>
            </w:tcMar>
          </w:tcPr>
          <w:p>
            <w:pPr>
              <w:spacing w:after="0" w:line="252"/>
              <w:jc w:val="left"/>
            </w:pPr>
            <w:r>
              <w:rPr>
                <w:b w:val="false"/>
                <w:bCs w:val="false"/>
                <w:sz w:val="18"/>
                <w:szCs w:val="18"/>
              </w:rPr>
              <w:t xml:space="preserve">Must state backup, cache and key-copy treatment and exceptions.</w:t>
            </w:r>
          </w:p>
        </w:tc>
      </w:tr>
    </w:tbl>
    <w:p>
      <w:pPr>
        <w:spacing w:after="160"/>
      </w:pPr>
    </w:p>
    <w:p>
      <w:pPr>
        <w:pStyle w:val="Heading1"/>
        <w:keepNext/>
      </w:pPr>
      <w:r>
        <w:t xml:space="preserve">Claim grammar</w:t>
      </w:r>
    </w:p>
    <w:p>
      <w:pPr>
        <w:spacing w:after="120" w:before="0" w:line="276"/>
        <w:jc w:val="left"/>
      </w:pPr>
      <w:r>
        <w:t xml:space="preserve">Claims are qualified statements of evidence, not labels. Every claim names the VAULT version, the evidence level, the scope, the threat model, the configuration and the assessment date.</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1800"/>
        <w:gridCol w:w="7560"/>
      </w:tblGrid>
      <w:tr>
        <w:trPr>
          <w:tblHeader/>
        </w:trPr>
        <w:tc>
          <w:tcPr>
            <w:tcW w:type="dxa" w:w="1800"/>
            <w:shd w:fill="3D2B63" w:color="auto" w:val="clear"/>
            <w:tcMar>
              <w:top w:type="dxa" w:w="80"/>
              <w:left w:type="dxa" w:w="110"/>
              <w:bottom w:type="dxa" w:w="80"/>
              <w:right w:type="dxa" w:w="110"/>
            </w:tcMar>
          </w:tcPr>
          <w:p>
            <w:pPr>
              <w:spacing w:after="0" w:line="252"/>
              <w:jc w:val="left"/>
            </w:pPr>
            <w:r>
              <w:rPr>
                <w:b/>
                <w:bCs/>
                <w:color w:val="FFFFFF"/>
                <w:sz w:val="17"/>
                <w:szCs w:val="17"/>
              </w:rPr>
              <w:t xml:space="preserve">Level</w:t>
            </w:r>
          </w:p>
        </w:tc>
        <w:tc>
          <w:tcPr>
            <w:tcW w:type="dxa" w:w="7560"/>
            <w:shd w:fill="3D2B63" w:color="auto" w:val="clear"/>
            <w:tcMar>
              <w:top w:type="dxa" w:w="80"/>
              <w:left w:type="dxa" w:w="110"/>
              <w:bottom w:type="dxa" w:w="80"/>
              <w:right w:type="dxa" w:w="110"/>
            </w:tcMar>
          </w:tcPr>
          <w:p>
            <w:pPr>
              <w:spacing w:after="0" w:line="252"/>
              <w:jc w:val="left"/>
            </w:pPr>
            <w:r>
              <w:rPr>
                <w:b/>
                <w:bCs/>
                <w:color w:val="FFFFFF"/>
                <w:sz w:val="17"/>
                <w:szCs w:val="17"/>
              </w:rPr>
              <w:t xml:space="preserve">Permitted form (example)</w:t>
            </w:r>
          </w:p>
        </w:tc>
      </w:tr>
      <w:tr>
        <w:trPr>
          <w:cantSplit/>
        </w:trPr>
        <w:tc>
          <w:tcPr>
            <w:tcW w:type="dxa" w:w="1800"/>
            <w:tcMar>
              <w:top w:type="dxa" w:w="80"/>
              <w:left w:type="dxa" w:w="110"/>
              <w:bottom w:type="dxa" w:w="80"/>
              <w:right w:type="dxa" w:w="110"/>
            </w:tcMar>
          </w:tcPr>
          <w:p>
            <w:pPr>
              <w:spacing w:after="0" w:line="252"/>
              <w:jc w:val="left"/>
            </w:pPr>
            <w:r>
              <w:rPr>
                <w:b/>
                <w:bCs/>
                <w:color w:val="3D2B63"/>
                <w:sz w:val="18"/>
                <w:szCs w:val="18"/>
              </w:rPr>
              <w:t xml:space="preserve">Level 3</w:t>
            </w:r>
          </w:p>
        </w:tc>
        <w:tc>
          <w:tcPr>
            <w:tcW w:type="dxa" w:w="7560"/>
            <w:tcMar>
              <w:top w:type="dxa" w:w="80"/>
              <w:left w:type="dxa" w:w="110"/>
              <w:bottom w:type="dxa" w:w="80"/>
              <w:right w:type="dxa" w:w="110"/>
            </w:tcMar>
          </w:tcPr>
          <w:p>
            <w:pPr>
              <w:spacing w:after="0" w:line="252"/>
              <w:jc w:val="left"/>
            </w:pPr>
            <w:r>
              <w:rPr>
                <w:b w:val="false"/>
                <w:bCs w:val="false"/>
                <w:sz w:val="18"/>
                <w:szCs w:val="18"/>
              </w:rPr>
              <w:t xml:space="preserve">“Provider-blind under VAULT v0.1 at Evidence Level 3 for the health and financial compartments, using execution configuration X, under threat model Y, assessed October 2026.”</w:t>
            </w:r>
          </w:p>
        </w:tc>
      </w:tr>
      <w:tr>
        <w:trPr>
          <w:cantSplit/>
        </w:trPr>
        <w:tc>
          <w:tcPr>
            <w:tcW w:type="dxa" w:w="18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Level 4</w:t>
            </w:r>
          </w:p>
        </w:tc>
        <w:tc>
          <w:tcPr>
            <w:tcW w:type="dxa" w:w="75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“Independently verified provider-blind under VAULT v0.1 at Evidence Level 4, reviewed by [reviewer], with conflicts disclosed, for [scope] under threat model Y, assessed [date].”</w:t>
            </w:r>
          </w:p>
        </w:tc>
      </w:tr>
      <w:tr>
        <w:trPr>
          <w:cantSplit/>
        </w:trPr>
        <w:tc>
          <w:tcPr>
            <w:tcW w:type="dxa" w:w="1800"/>
            <w:tcMar>
              <w:top w:type="dxa" w:w="80"/>
              <w:left w:type="dxa" w:w="110"/>
              <w:bottom w:type="dxa" w:w="80"/>
              <w:right w:type="dxa" w:w="110"/>
            </w:tcMar>
          </w:tcPr>
          <w:p>
            <w:pPr>
              <w:spacing w:after="0" w:line="252"/>
              <w:jc w:val="left"/>
            </w:pPr>
            <w:r>
              <w:rPr>
                <w:b/>
                <w:bCs/>
                <w:color w:val="3D2B63"/>
                <w:sz w:val="18"/>
                <w:szCs w:val="18"/>
              </w:rPr>
              <w:t xml:space="preserve">Never permitted</w:t>
            </w:r>
          </w:p>
        </w:tc>
        <w:tc>
          <w:tcPr>
            <w:tcW w:type="dxa" w:w="7560"/>
            <w:tcMar>
              <w:top w:type="dxa" w:w="80"/>
              <w:left w:type="dxa" w:w="110"/>
              <w:bottom w:type="dxa" w:w="80"/>
              <w:right w:type="dxa" w:w="110"/>
            </w:tcMar>
          </w:tcPr>
          <w:p>
            <w:pPr>
              <w:spacing w:after="0" w:line="252"/>
              <w:jc w:val="left"/>
            </w:pPr>
            <w:r>
              <w:rPr>
                <w:b w:val="false"/>
                <w:bCs w:val="false"/>
                <w:sz w:val="18"/>
                <w:szCs w:val="18"/>
              </w:rPr>
              <w:t xml:space="preserve">“VAULT certified”; “VAULT approved”; unqualified “VAULT compliant”; any claim applied to an entire product when only one configuration, compartment or execution mode was tested; any claim below Level 3.</w:t>
            </w:r>
          </w:p>
        </w:tc>
      </w:tr>
    </w:tbl>
    <w:p>
      <w:pPr>
        <w:spacing w:after="160"/>
      </w:pPr>
    </w:p>
    <w:p>
      <w:pPr>
        <w:pStyle w:val="Heading1"/>
        <w:keepNext/>
      </w:pPr>
      <w:r>
        <w:t xml:space="preserve">Covered operations</w:t>
      </w:r>
    </w:p>
    <w:p>
      <w:pPr>
        <w:spacing w:after="120" w:before="0" w:line="276"/>
        <w:jc w:val="left"/>
      </w:pPr>
      <w:r>
        <w:t xml:space="preserve">Requirement T1 and several tests refer to covered operations. A covered operation is any action that accesses protected source or derived material; discloses it to a recipient; creates, changes or revokes a grant or policy; changes the AI identity or its execution environment; exports, imports, corrects or deletes protected material; or exercises recovery. Computation inside an already authorized operation is not a separate covered operation, so receipts do not require logging internal model activity.</w:t>
      </w:r>
    </w:p>
    <w:p>
      <w:pPr>
        <w:pStyle w:val="Heading1"/>
        <w:keepNext/>
      </w:pPr>
      <w:r>
        <w:t xml:space="preserve">Test map</w:t>
      </w:r>
    </w:p>
    <w:p>
      <w:pPr>
        <w:spacing w:after="120" w:before="0" w:line="276"/>
        <w:jc w:val="left"/>
      </w:pPr>
      <w:r>
        <w:t xml:space="preserve">The working paper proposes twelve evaluation tests for a synthetic demonstrator. The map below links each to the requirements whose evidence it supports. Test E13 is proposed in this package so that requirement L3 has a dedicated test; it is offered for review in the first collaboration cycle.</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700"/>
        <w:gridCol w:w="3700"/>
        <w:gridCol w:w="1300"/>
        <w:gridCol w:w="3660"/>
      </w:tblGrid>
      <w:tr>
        <w:trPr>
          <w:tblHeader/>
        </w:trPr>
        <w:tc>
          <w:tcPr>
            <w:tcW w:type="dxa" w:w="700"/>
            <w:shd w:fill="3D2B63" w:color="auto" w:val="clear"/>
            <w:tcMar>
              <w:top w:type="dxa" w:w="80"/>
              <w:left w:type="dxa" w:w="110"/>
              <w:bottom w:type="dxa" w:w="80"/>
              <w:right w:type="dxa" w:w="110"/>
            </w:tcMar>
          </w:tcPr>
          <w:p>
            <w:pPr>
              <w:spacing w:after="0" w:line="252"/>
              <w:jc w:val="left"/>
            </w:pPr>
            <w:r>
              <w:rPr>
                <w:b/>
                <w:bCs/>
                <w:color w:val="FFFFFF"/>
                <w:sz w:val="17"/>
                <w:szCs w:val="17"/>
              </w:rPr>
              <w:t xml:space="preserve">Test</w:t>
            </w:r>
          </w:p>
        </w:tc>
        <w:tc>
          <w:tcPr>
            <w:tcW w:type="dxa" w:w="3700"/>
            <w:shd w:fill="3D2B63" w:color="auto" w:val="clear"/>
            <w:tcMar>
              <w:top w:type="dxa" w:w="80"/>
              <w:left w:type="dxa" w:w="110"/>
              <w:bottom w:type="dxa" w:w="80"/>
              <w:right w:type="dxa" w:w="110"/>
            </w:tcMar>
          </w:tcPr>
          <w:p>
            <w:pPr>
              <w:spacing w:after="0" w:line="252"/>
              <w:jc w:val="left"/>
            </w:pPr>
            <w:r>
              <w:rPr>
                <w:b/>
                <w:bCs/>
                <w:color w:val="FFFFFF"/>
                <w:sz w:val="17"/>
                <w:szCs w:val="17"/>
              </w:rPr>
              <w:t xml:space="preserve">Challenge</w:t>
            </w:r>
          </w:p>
        </w:tc>
        <w:tc>
          <w:tcPr>
            <w:tcW w:type="dxa" w:w="1300"/>
            <w:shd w:fill="3D2B63" w:color="auto" w:val="clear"/>
            <w:tcMar>
              <w:top w:type="dxa" w:w="80"/>
              <w:left w:type="dxa" w:w="110"/>
              <w:bottom w:type="dxa" w:w="80"/>
              <w:right w:type="dxa" w:w="110"/>
            </w:tcMar>
          </w:tcPr>
          <w:p>
            <w:pPr>
              <w:spacing w:after="0" w:line="252"/>
              <w:jc w:val="left"/>
            </w:pPr>
            <w:r>
              <w:rPr>
                <w:b/>
                <w:bCs/>
                <w:color w:val="FFFFFF"/>
                <w:sz w:val="17"/>
                <w:szCs w:val="17"/>
              </w:rPr>
              <w:t xml:space="preserve">Supports</w:t>
            </w:r>
          </w:p>
        </w:tc>
        <w:tc>
          <w:tcPr>
            <w:tcW w:type="dxa" w:w="3660"/>
            <w:shd w:fill="3D2B63" w:color="auto" w:val="clear"/>
            <w:tcMar>
              <w:top w:type="dxa" w:w="80"/>
              <w:left w:type="dxa" w:w="110"/>
              <w:bottom w:type="dxa" w:w="80"/>
              <w:right w:type="dxa" w:w="110"/>
            </w:tcMar>
          </w:tcPr>
          <w:p>
            <w:pPr>
              <w:spacing w:after="0" w:line="252"/>
              <w:jc w:val="left"/>
            </w:pPr>
            <w:r>
              <w:rPr>
                <w:b/>
                <w:bCs/>
                <w:color w:val="FFFFFF"/>
                <w:sz w:val="17"/>
                <w:szCs w:val="17"/>
              </w:rPr>
              <w:t xml:space="preserve">Evidence to report</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E1</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Perform an authorized request within one compartment</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U1, T1</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Correct scope, current grant and complete covered-operation receipt.</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E2</w:t>
            </w:r>
          </w:p>
        </w:tc>
        <w:tc>
          <w:tcPr>
            <w:tcW w:type="dxa" w:w="37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Retrieve an unauthorized source or derivative across compartments</w:t>
            </w:r>
          </w:p>
        </w:tc>
        <w:tc>
          <w:tcPr>
            <w:tcW w:type="dxa" w:w="1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U1, U2, V2</w:t>
            </w:r>
          </w:p>
        </w:tc>
        <w:tc>
          <w:tcPr>
            <w:tcW w:type="dxa" w:w="36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Denied access; checks of retrieval, generated output and tool destinations.</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E3</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Attempt administrator access to storage, runtime or recovery</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V1, V3, A1</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Results for each declared access path and unresolved trust assumptions.</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E4</w:t>
            </w:r>
          </w:p>
        </w:tc>
        <w:tc>
          <w:tcPr>
            <w:tcW w:type="dxa" w:w="37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Substitute the model, runtime, policy or AI custody service</w:t>
            </w:r>
          </w:p>
        </w:tc>
        <w:tc>
          <w:tcPr>
            <w:tcW w:type="dxa" w:w="1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A2, V2</w:t>
            </w:r>
          </w:p>
        </w:tc>
        <w:tc>
          <w:tcPr>
            <w:tcW w:type="dxa" w:w="36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Unapproved changes denied before release of protected context.</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E5</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Replay an expired grant or restore an older state</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U3, T3</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Revocation and rollback protections, including disconnected recovery behavior.</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E6</w:t>
            </w:r>
          </w:p>
        </w:tc>
        <w:tc>
          <w:tcPr>
            <w:tcW w:type="dxa" w:w="37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Correct a source that supports several inferences, and contest a synthetic item about a third party</w:t>
            </w:r>
          </w:p>
        </w:tc>
        <w:tc>
          <w:tcPr>
            <w:tcW w:type="dxa" w:w="1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L1, L2, U2</w:t>
            </w:r>
          </w:p>
        </w:tc>
        <w:tc>
          <w:tcPr>
            <w:tcW w:type="dxa" w:w="36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Dependency discovery and treatment of every affected durable derivative; handling of the third-party restriction or contest.</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E7</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Request deletion and inspect the declared inventory</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T3, L1</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Evidence for sources, derivatives, caches, keys and backups, with explicit limits.</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E8</w:t>
            </w:r>
          </w:p>
        </w:tc>
        <w:tc>
          <w:tcPr>
            <w:tcW w:type="dxa" w:w="37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Export and import into a second environment</w:t>
            </w:r>
          </w:p>
        </w:tc>
        <w:tc>
          <w:tcPr>
            <w:tcW w:type="dxa" w:w="1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T2</w:t>
            </w:r>
          </w:p>
        </w:tc>
        <w:tc>
          <w:tcPr>
            <w:tcW w:type="dxa" w:w="36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Verified integrity; preserved records, restrictions and provenance; missing capabilities reported.</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E9</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Lose a share or take the incumbent service offline</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A1, A3</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Recovery according to the disclosed access structure; no hidden provider override.</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E10</w:t>
            </w:r>
          </w:p>
        </w:tc>
        <w:tc>
          <w:tcPr>
            <w:tcW w:type="dxa" w:w="37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Attempt unauthorized disclosure through hostile document or tool instructions</w:t>
            </w:r>
          </w:p>
        </w:tc>
        <w:tc>
          <w:tcPr>
            <w:tcW w:type="dxa" w:w="1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V2, U1</w:t>
            </w:r>
          </w:p>
        </w:tc>
        <w:tc>
          <w:tcPr>
            <w:tcW w:type="dxa" w:w="36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Blocked destinations, scoped allowed outputs and residual metadata exposure.</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E11</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Omit an event or present conflicting audit histories</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T1</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Detection or prevention within the documented logging and witness model.</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E12</w:t>
            </w:r>
          </w:p>
        </w:tc>
        <w:tc>
          <w:tcPr>
            <w:tcW w:type="dxa" w:w="37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Ask users to review grants and complete recovery and exit</w:t>
            </w:r>
          </w:p>
        </w:tc>
        <w:tc>
          <w:tcPr>
            <w:tcW w:type="dxa" w:w="1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U3, A3</w:t>
            </w:r>
          </w:p>
        </w:tc>
        <w:tc>
          <w:tcPr>
            <w:tcW w:type="dxa" w:w="36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Comprehension, completion, errors and accessibility findings.</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E13*</w:t>
            </w:r>
          </w:p>
        </w:tc>
        <w:tc>
          <w:tcPr>
            <w:tcW w:type="dxa" w:w="3700"/>
            <w:tcMar>
              <w:top w:type="dxa" w:w="80"/>
              <w:left w:type="dxa" w:w="110"/>
              <w:bottom w:type="dxa" w:w="80"/>
              <w:right w:type="dxa" w:w="110"/>
            </w:tcMar>
          </w:tcPr>
          <w:p>
            <w:pPr>
              <w:spacing w:after="0" w:line="252"/>
              <w:jc w:val="left"/>
            </w:pPr>
            <w:r>
              <w:rPr>
                <w:b w:val="false"/>
                <w:bCs w:val="false"/>
                <w:sz w:val="18"/>
                <w:szCs w:val="18"/>
              </w:rPr>
              <w:t xml:space="preserve">Reuse Canary and Data-Lineage Test: plant unique synthetic markers and trace whether they reach training, evaluation, analytics or review pipelines</w:t>
            </w:r>
          </w:p>
        </w:tc>
        <w:tc>
          <w:tcPr>
            <w:tcW w:type="dxa" w:w="1300"/>
            <w:tcMar>
              <w:top w:type="dxa" w:w="80"/>
              <w:left w:type="dxa" w:w="110"/>
              <w:bottom w:type="dxa" w:w="80"/>
              <w:right w:type="dxa" w:w="110"/>
            </w:tcMar>
          </w:tcPr>
          <w:p>
            <w:pPr>
              <w:spacing w:after="0" w:line="252"/>
              <w:jc w:val="left"/>
            </w:pPr>
            <w:r>
              <w:rPr>
                <w:b w:val="false"/>
                <w:bCs w:val="false"/>
                <w:sz w:val="18"/>
                <w:szCs w:val="18"/>
              </w:rPr>
              <w:t xml:space="preserve">L3</w:t>
            </w:r>
          </w:p>
        </w:tc>
        <w:tc>
          <w:tcPr>
            <w:tcW w:type="dxa" w:w="3660"/>
            <w:tcMar>
              <w:top w:type="dxa" w:w="80"/>
              <w:left w:type="dxa" w:w="110"/>
              <w:bottom w:type="dxa" w:w="80"/>
              <w:right w:type="dxa" w:w="110"/>
            </w:tcMar>
          </w:tcPr>
          <w:p>
            <w:pPr>
              <w:spacing w:after="0" w:line="252"/>
              <w:jc w:val="left"/>
            </w:pPr>
            <w:r>
              <w:rPr>
                <w:b w:val="false"/>
                <w:bCs w:val="false"/>
                <w:sz w:val="18"/>
                <w:szCs w:val="18"/>
              </w:rPr>
              <w:t xml:space="preserve">Three forms together: (1) canary result; (2) pipeline lineage from ingestion manifests, data catalogs, access records and authorization receipts; (3) technical controls excluding unauthorized destinations. A detected marker can demonstrate reuse; a negative result is reported only as “no marker detected under this procedure,” never as proof that no reuse occurred.</w:t>
            </w:r>
          </w:p>
        </w:tc>
      </w:tr>
    </w:tbl>
    <w:p>
      <w:pPr>
        <w:spacing w:after="160"/>
      </w:pPr>
    </w:p>
    <w:p>
      <w:pPr>
        <w:spacing w:after="100" w:before="0" w:line="276"/>
        <w:jc w:val="left"/>
      </w:pPr>
      <w:r>
        <w:rPr>
          <w:i w:val="false"/>
          <w:iCs w:val="false"/>
          <w:color w:val="5A5A6A"/>
          <w:sz w:val="17"/>
          <w:szCs w:val="17"/>
        </w:rPr>
        <w:t xml:space="preserve">* Proposed addition, not part of the working paper v0.1. A detected marker can demonstrate reuse; the absence of a marker cannot prove that reuse did not occur, because pipelines may transform, filter or absorb a marker without making it detectable. All tests use invented people and records; do not use private archives, volunteer testimony or real health records. Write the expected outcome before each experiment so that failures cannot be renamed as intended behavior.</w:t>
      </w:r>
    </w:p>
    <w:p>
      <w:pPr>
        <w:pStyle w:val="Heading1"/>
        <w:keepNext/>
        <w:pageBreakBefore/>
      </w:pPr>
      <w:r>
        <w:t xml:space="preserve">Scorecard</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600"/>
        <w:gridCol w:w="2300"/>
        <w:gridCol w:w="2400"/>
        <w:gridCol w:w="1000"/>
        <w:gridCol w:w="1360"/>
        <w:gridCol w:w="700"/>
        <w:gridCol w:w="1000"/>
      </w:tblGrid>
      <w:tr>
        <w:trPr>
          <w:tblHeader/>
        </w:trPr>
        <w:tc>
          <w:tcPr>
            <w:tcW w:type="dxa" w:w="600"/>
            <w:shd w:fill="3D2B63" w:color="auto" w:val="clear"/>
            <w:tcMar>
              <w:top w:type="dxa" w:w="80"/>
              <w:left w:type="dxa" w:w="110"/>
              <w:bottom w:type="dxa" w:w="80"/>
              <w:right w:type="dxa" w:w="110"/>
            </w:tcMar>
          </w:tcPr>
          <w:p>
            <w:pPr>
              <w:spacing w:after="0" w:line="252"/>
              <w:jc w:val="left"/>
            </w:pPr>
            <w:r>
              <w:rPr>
                <w:b/>
                <w:bCs/>
                <w:color w:val="FFFFFF"/>
                <w:sz w:val="17"/>
                <w:szCs w:val="17"/>
              </w:rPr>
              <w:t xml:space="preserve">ID</w:t>
            </w:r>
          </w:p>
        </w:tc>
        <w:tc>
          <w:tcPr>
            <w:tcW w:type="dxa" w:w="2300"/>
            <w:shd w:fill="3D2B63" w:color="auto" w:val="clear"/>
            <w:tcMar>
              <w:top w:type="dxa" w:w="80"/>
              <w:left w:type="dxa" w:w="110"/>
              <w:bottom w:type="dxa" w:w="80"/>
              <w:right w:type="dxa" w:w="110"/>
            </w:tcMar>
          </w:tcPr>
          <w:p>
            <w:pPr>
              <w:spacing w:after="0" w:line="252"/>
              <w:jc w:val="left"/>
            </w:pPr>
            <w:r>
              <w:rPr>
                <w:b/>
                <w:bCs/>
                <w:color w:val="FFFFFF"/>
                <w:sz w:val="17"/>
                <w:szCs w:val="17"/>
              </w:rPr>
              <w:t xml:space="preserve">Requirement</w:t>
            </w:r>
          </w:p>
        </w:tc>
        <w:tc>
          <w:tcPr>
            <w:tcW w:type="dxa" w:w="2400"/>
            <w:shd w:fill="3D2B63" w:color="auto" w:val="clear"/>
            <w:tcMar>
              <w:top w:type="dxa" w:w="80"/>
              <w:left w:type="dxa" w:w="110"/>
              <w:bottom w:type="dxa" w:w="80"/>
              <w:right w:type="dxa" w:w="110"/>
            </w:tcMar>
          </w:tcPr>
          <w:p>
            <w:pPr>
              <w:spacing w:after="0" w:line="252"/>
              <w:jc w:val="left"/>
            </w:pPr>
            <w:r>
              <w:rPr>
                <w:b/>
                <w:bCs/>
                <w:color w:val="FFFFFF"/>
                <w:sz w:val="17"/>
                <w:szCs w:val="17"/>
              </w:rPr>
              <w:t xml:space="preserve">Evidence (cite or link)</w:t>
            </w:r>
          </w:p>
        </w:tc>
        <w:tc>
          <w:tcPr>
            <w:tcW w:type="dxa" w:w="1000"/>
            <w:shd w:fill="3D2B63" w:color="auto" w:val="clear"/>
            <w:tcMar>
              <w:top w:type="dxa" w:w="80"/>
              <w:left w:type="dxa" w:w="110"/>
              <w:bottom w:type="dxa" w:w="80"/>
              <w:right w:type="dxa" w:w="110"/>
            </w:tcMar>
          </w:tcPr>
          <w:p>
            <w:pPr>
              <w:spacing w:after="0" w:line="252"/>
              <w:jc w:val="left"/>
            </w:pPr>
            <w:r>
              <w:rPr>
                <w:b/>
                <w:bCs/>
                <w:color w:val="FFFFFF"/>
                <w:sz w:val="17"/>
                <w:szCs w:val="17"/>
              </w:rPr>
              <w:t xml:space="preserve">Tests</w:t>
            </w:r>
          </w:p>
        </w:tc>
        <w:tc>
          <w:tcPr>
            <w:tcW w:type="dxa" w:w="1360"/>
            <w:shd w:fill="3D2B63" w:color="auto" w:val="clear"/>
            <w:tcMar>
              <w:top w:type="dxa" w:w="80"/>
              <w:left w:type="dxa" w:w="110"/>
              <w:bottom w:type="dxa" w:w="80"/>
              <w:right w:type="dxa" w:w="110"/>
            </w:tcMar>
          </w:tcPr>
          <w:p>
            <w:pPr>
              <w:spacing w:after="0" w:line="252"/>
              <w:jc w:val="left"/>
            </w:pPr>
            <w:r>
              <w:rPr>
                <w:b/>
                <w:bCs/>
                <w:color w:val="FFFFFF"/>
                <w:sz w:val="17"/>
                <w:szCs w:val="17"/>
              </w:rPr>
              <w:t xml:space="preserve">Status</w:t>
            </w:r>
          </w:p>
        </w:tc>
        <w:tc>
          <w:tcPr>
            <w:tcW w:type="dxa" w:w="700"/>
            <w:shd w:fill="3D2B63" w:color="auto" w:val="clear"/>
            <w:tcMar>
              <w:top w:type="dxa" w:w="80"/>
              <w:left w:type="dxa" w:w="110"/>
              <w:bottom w:type="dxa" w:w="80"/>
              <w:right w:type="dxa" w:w="110"/>
            </w:tcMar>
          </w:tcPr>
          <w:p>
            <w:pPr>
              <w:spacing w:after="0" w:line="252"/>
              <w:jc w:val="left"/>
            </w:pPr>
            <w:r>
              <w:rPr>
                <w:b/>
                <w:bCs/>
                <w:color w:val="FFFFFF"/>
                <w:sz w:val="17"/>
                <w:szCs w:val="17"/>
              </w:rPr>
              <w:t xml:space="preserve">Score</w:t>
            </w:r>
          </w:p>
        </w:tc>
        <w:tc>
          <w:tcPr>
            <w:tcW w:type="dxa" w:w="1000"/>
            <w:shd w:fill="3D2B63" w:color="auto" w:val="clear"/>
            <w:tcMar>
              <w:top w:type="dxa" w:w="80"/>
              <w:left w:type="dxa" w:w="110"/>
              <w:bottom w:type="dxa" w:w="80"/>
              <w:right w:type="dxa" w:w="110"/>
            </w:tcMar>
          </w:tcPr>
          <w:p>
            <w:pPr>
              <w:spacing w:after="0" w:line="252"/>
              <w:jc w:val="left"/>
            </w:pPr>
            <w:r>
              <w:rPr>
                <w:b/>
                <w:bCs/>
                <w:color w:val="FFFFFF"/>
                <w:sz w:val="17"/>
                <w:szCs w:val="17"/>
              </w:rPr>
              <w:t xml:space="preserve">Notes</w:t>
            </w: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V1</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No independent provider access</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E3</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V2</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Approved execution and egress</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E2, E4, E10</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V3</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Independently assessable evidence</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Document review; E3</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A1</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Separate authorization domains</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E3, E9</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A2</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Bind authority to identity and change control</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E4</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A3</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Preserve access without captivity</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E9, E12</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U1</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Narrow authorization</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E1, E2, E10</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U2</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Restrictions follow information</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E2, E6</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U3</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Understandable continuing consent</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E5, E12</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L1</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An inventory with provenance</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E6, E7</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L2</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Inspect and correct the portrait</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E6</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L3</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Govern every reuse</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E13 (proposed)</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T1</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Protected and verifiable receipts</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E1, E11</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r>
        <w:trPr>
          <w:cantSplit/>
        </w:trPr>
        <w:tc>
          <w:tcPr>
            <w:tcW w:type="dxa" w:w="600"/>
            <w:shd w:fill="FAF9FC" w:color="auto" w:val="clear"/>
            <w:tcMar>
              <w:top w:type="dxa" w:w="80"/>
              <w:left w:type="dxa" w:w="110"/>
              <w:bottom w:type="dxa" w:w="80"/>
              <w:right w:type="dxa" w:w="110"/>
            </w:tcMar>
          </w:tcPr>
          <w:p>
            <w:pPr>
              <w:spacing w:after="0" w:line="252"/>
              <w:jc w:val="left"/>
            </w:pPr>
            <w:r>
              <w:rPr>
                <w:b/>
                <w:bCs/>
                <w:color w:val="3D2B63"/>
                <w:sz w:val="18"/>
                <w:szCs w:val="18"/>
              </w:rPr>
              <w:t xml:space="preserve">T2</w:t>
            </w:r>
          </w:p>
        </w:tc>
        <w:tc>
          <w:tcPr>
            <w:tcW w:type="dxa" w:w="2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Functional transfer</w:t>
            </w:r>
          </w:p>
        </w:tc>
        <w:tc>
          <w:tcPr>
            <w:tcW w:type="dxa" w:w="24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E8</w:t>
            </w:r>
          </w:p>
        </w:tc>
        <w:tc>
          <w:tcPr>
            <w:tcW w:type="dxa" w:w="1360"/>
            <w:shd w:fill="FAF9FC" w:color="auto" w:val="clear"/>
            <w:tcMar>
              <w:top w:type="dxa" w:w="80"/>
              <w:left w:type="dxa" w:w="110"/>
              <w:bottom w:type="dxa" w:w="80"/>
              <w:right w:type="dxa" w:w="110"/>
            </w:tcMar>
          </w:tcPr>
          <w:p>
            <w:pPr>
              <w:spacing w:after="0" w:line="252"/>
              <w:jc w:val="left"/>
            </w:pPr>
          </w:p>
        </w:tc>
        <w:tc>
          <w:tcPr>
            <w:tcW w:type="dxa" w:w="700"/>
            <w:shd w:fill="FAF9FC" w:color="auto" w:val="clear"/>
            <w:tcMar>
              <w:top w:type="dxa" w:w="80"/>
              <w:left w:type="dxa" w:w="110"/>
              <w:bottom w:type="dxa" w:w="80"/>
              <w:right w:type="dxa" w:w="110"/>
            </w:tcMar>
          </w:tcPr>
          <w:p>
            <w:pPr>
              <w:spacing w:after="0" w:line="252"/>
              <w:jc w:val="left"/>
            </w:pPr>
          </w:p>
        </w:tc>
        <w:tc>
          <w:tcPr>
            <w:tcW w:type="dxa" w:w="1000"/>
            <w:shd w:fill="FAF9FC" w:color="auto" w:val="clear"/>
            <w:tcMar>
              <w:top w:type="dxa" w:w="80"/>
              <w:left w:type="dxa" w:w="110"/>
              <w:bottom w:type="dxa" w:w="80"/>
              <w:right w:type="dxa" w:w="110"/>
            </w:tcMar>
          </w:tcPr>
          <w:p>
            <w:pPr>
              <w:spacing w:after="0" w:line="252"/>
              <w:jc w:val="left"/>
            </w:pPr>
          </w:p>
        </w:tc>
      </w:tr>
      <w:tr>
        <w:trPr>
          <w:cantSplit/>
        </w:trPr>
        <w:tc>
          <w:tcPr>
            <w:tcW w:type="dxa" w:w="600"/>
            <w:tcMar>
              <w:top w:type="dxa" w:w="80"/>
              <w:left w:type="dxa" w:w="110"/>
              <w:bottom w:type="dxa" w:w="80"/>
              <w:right w:type="dxa" w:w="110"/>
            </w:tcMar>
          </w:tcPr>
          <w:p>
            <w:pPr>
              <w:spacing w:after="0" w:line="252"/>
              <w:jc w:val="left"/>
            </w:pPr>
            <w:r>
              <w:rPr>
                <w:b/>
                <w:bCs/>
                <w:color w:val="3D2B63"/>
                <w:sz w:val="18"/>
                <w:szCs w:val="18"/>
              </w:rPr>
              <w:t xml:space="preserve">T3</w:t>
            </w:r>
          </w:p>
        </w:tc>
        <w:tc>
          <w:tcPr>
            <w:tcW w:type="dxa" w:w="2300"/>
            <w:tcMar>
              <w:top w:type="dxa" w:w="80"/>
              <w:left w:type="dxa" w:w="110"/>
              <w:bottom w:type="dxa" w:w="80"/>
              <w:right w:type="dxa" w:w="110"/>
            </w:tcMar>
          </w:tcPr>
          <w:p>
            <w:pPr>
              <w:spacing w:after="0" w:line="252"/>
              <w:jc w:val="left"/>
            </w:pPr>
            <w:r>
              <w:rPr>
                <w:b w:val="false"/>
                <w:bCs w:val="false"/>
                <w:sz w:val="18"/>
                <w:szCs w:val="18"/>
              </w:rPr>
              <w:t xml:space="preserve">Scoped termination</w:t>
            </w:r>
          </w:p>
        </w:tc>
        <w:tc>
          <w:tcPr>
            <w:tcW w:type="dxa" w:w="24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r>
              <w:rPr>
                <w:b w:val="false"/>
                <w:bCs w:val="false"/>
                <w:sz w:val="18"/>
                <w:szCs w:val="18"/>
              </w:rPr>
              <w:t xml:space="preserve">E5, E7</w:t>
            </w:r>
          </w:p>
        </w:tc>
        <w:tc>
          <w:tcPr>
            <w:tcW w:type="dxa" w:w="1360"/>
            <w:tcMar>
              <w:top w:type="dxa" w:w="80"/>
              <w:left w:type="dxa" w:w="110"/>
              <w:bottom w:type="dxa" w:w="80"/>
              <w:right w:type="dxa" w:w="110"/>
            </w:tcMar>
          </w:tcPr>
          <w:p>
            <w:pPr>
              <w:spacing w:after="0" w:line="252"/>
              <w:jc w:val="left"/>
            </w:pPr>
          </w:p>
        </w:tc>
        <w:tc>
          <w:tcPr>
            <w:tcW w:type="dxa" w:w="700"/>
            <w:tcMar>
              <w:top w:type="dxa" w:w="80"/>
              <w:left w:type="dxa" w:w="110"/>
              <w:bottom w:type="dxa" w:w="80"/>
              <w:right w:type="dxa" w:w="110"/>
            </w:tcMar>
          </w:tcPr>
          <w:p>
            <w:pPr>
              <w:spacing w:after="0" w:line="252"/>
              <w:jc w:val="left"/>
            </w:pPr>
          </w:p>
        </w:tc>
        <w:tc>
          <w:tcPr>
            <w:tcW w:type="dxa" w:w="1000"/>
            <w:tcMar>
              <w:top w:type="dxa" w:w="80"/>
              <w:left w:type="dxa" w:w="110"/>
              <w:bottom w:type="dxa" w:w="80"/>
              <w:right w:type="dxa" w:w="110"/>
            </w:tcMar>
          </w:tcPr>
          <w:p>
            <w:pPr>
              <w:spacing w:after="0" w:line="252"/>
              <w:jc w:val="left"/>
            </w:pPr>
          </w:p>
        </w:tc>
      </w:tr>
    </w:tbl>
    <w:p>
      <w:pPr>
        <w:spacing w:after="160"/>
      </w:pPr>
    </w:p>
    <w:p>
      <w:pPr>
        <w:spacing w:after="100" w:before="0" w:line="276"/>
        <w:jc w:val="left"/>
      </w:pPr>
      <w:r>
        <w:rPr>
          <w:i w:val="false"/>
          <w:iCs w:val="false"/>
          <w:color w:val="5A5A6A"/>
          <w:sz w:val="17"/>
          <w:szCs w:val="17"/>
        </w:rPr>
        <w:t xml:space="preserve">Status: absent, partial, implemented or unknown. Score: 0–4 on the evidence scale.</w:t>
      </w:r>
    </w:p>
    <w:p>
      <w:pPr>
        <w:pStyle w:val="Heading2"/>
        <w:keepNext/>
        <w:pageBreakBefore/>
      </w:pPr>
      <w:r>
        <w:t xml:space="preserve">Pillar summary</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200"/>
        <w:gridCol w:w="1900"/>
        <w:gridCol w:w="4260"/>
      </w:tblGrid>
      <w:tr>
        <w:trPr>
          <w:tblHeader/>
        </w:trPr>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Pillar</w:t>
            </w:r>
          </w:p>
        </w:tc>
        <w:tc>
          <w:tcPr>
            <w:tcW w:type="dxa" w:w="1900"/>
            <w:shd w:fill="3D2B63" w:color="auto" w:val="clear"/>
            <w:tcMar>
              <w:top w:type="dxa" w:w="80"/>
              <w:left w:type="dxa" w:w="110"/>
              <w:bottom w:type="dxa" w:w="80"/>
              <w:right w:type="dxa" w:w="110"/>
            </w:tcMar>
          </w:tcPr>
          <w:p>
            <w:pPr>
              <w:spacing w:after="0" w:line="252"/>
              <w:jc w:val="left"/>
            </w:pPr>
            <w:r>
              <w:rPr>
                <w:b/>
                <w:bCs/>
                <w:color w:val="FFFFFF"/>
                <w:sz w:val="17"/>
                <w:szCs w:val="17"/>
              </w:rPr>
              <w:t xml:space="preserve">Score (lowest of three)</w:t>
            </w:r>
          </w:p>
        </w:tc>
        <w:tc>
          <w:tcPr>
            <w:tcW w:type="dxa" w:w="4260"/>
            <w:shd w:fill="3D2B63" w:color="auto" w:val="clear"/>
            <w:tcMar>
              <w:top w:type="dxa" w:w="80"/>
              <w:left w:type="dxa" w:w="110"/>
              <w:bottom w:type="dxa" w:w="80"/>
              <w:right w:type="dxa" w:w="110"/>
            </w:tcMar>
          </w:tcPr>
          <w:p>
            <w:pPr>
              <w:spacing w:after="0" w:line="252"/>
              <w:jc w:val="left"/>
            </w:pPr>
            <w:r>
              <w:rPr>
                <w:b/>
                <w:bCs/>
                <w:color w:val="FFFFFF"/>
                <w:sz w:val="17"/>
                <w:szCs w:val="17"/>
              </w:rPr>
              <w:t xml:space="preserve">Principal gap</w:t>
            </w:r>
          </w:p>
        </w:tc>
      </w:tr>
      <w:tr>
        <w:trPr>
          <w:cantSplit/>
        </w:trPr>
        <w:tc>
          <w:tcPr>
            <w:tcW w:type="dxa" w:w="3200"/>
            <w:tcMar>
              <w:top w:type="dxa" w:w="80"/>
              <w:left w:type="dxa" w:w="110"/>
              <w:bottom w:type="dxa" w:w="80"/>
              <w:right w:type="dxa" w:w="110"/>
            </w:tcMar>
          </w:tcPr>
          <w:p>
            <w:pPr>
              <w:spacing w:after="0" w:line="252"/>
              <w:jc w:val="left"/>
            </w:pPr>
            <w:r>
              <w:rPr>
                <w:b/>
                <w:bCs/>
                <w:color w:val="3D2B63"/>
                <w:sz w:val="18"/>
                <w:szCs w:val="18"/>
              </w:rPr>
              <w:t xml:space="preserve">V  Verifiable Provider Blindness</w:t>
            </w:r>
          </w:p>
        </w:tc>
        <w:tc>
          <w:tcPr>
            <w:tcW w:type="dxa" w:w="1900"/>
            <w:tcMar>
              <w:top w:type="dxa" w:w="80"/>
              <w:left w:type="dxa" w:w="110"/>
              <w:bottom w:type="dxa" w:w="80"/>
              <w:right w:type="dxa" w:w="110"/>
            </w:tcMar>
          </w:tcPr>
          <w:p>
            <w:pPr>
              <w:spacing w:after="0" w:line="252"/>
              <w:jc w:val="left"/>
            </w:pPr>
          </w:p>
        </w:tc>
        <w:tc>
          <w:tcPr>
            <w:tcW w:type="dxa" w:w="4260"/>
            <w:tcMar>
              <w:top w:type="dxa" w:w="80"/>
              <w:left w:type="dxa" w:w="110"/>
              <w:bottom w:type="dxa" w:w="80"/>
              <w:right w:type="dxa" w:w="110"/>
            </w:tcMar>
          </w:tcPr>
          <w:p>
            <w:pPr>
              <w:spacing w:after="0" w:line="252"/>
              <w:jc w:val="left"/>
            </w:pPr>
          </w:p>
        </w:tc>
      </w:tr>
      <w:tr>
        <w:trPr>
          <w:cantSplit/>
        </w:trPr>
        <w:tc>
          <w:tcPr>
            <w:tcW w:type="dxa" w:w="32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  AI–User Dual Custody</w:t>
            </w:r>
          </w:p>
        </w:tc>
        <w:tc>
          <w:tcPr>
            <w:tcW w:type="dxa" w:w="1900"/>
            <w:shd w:fill="FAF9FC" w:color="auto" w:val="clear"/>
            <w:tcMar>
              <w:top w:type="dxa" w:w="80"/>
              <w:left w:type="dxa" w:w="110"/>
              <w:bottom w:type="dxa" w:w="80"/>
              <w:right w:type="dxa" w:w="110"/>
            </w:tcMar>
          </w:tcPr>
          <w:p>
            <w:pPr>
              <w:spacing w:after="0" w:line="252"/>
              <w:jc w:val="left"/>
            </w:pPr>
          </w:p>
        </w:tc>
        <w:tc>
          <w:tcPr>
            <w:tcW w:type="dxa" w:w="4260"/>
            <w:shd w:fill="FAF9FC" w:color="auto" w:val="clear"/>
            <w:tcMar>
              <w:top w:type="dxa" w:w="80"/>
              <w:left w:type="dxa" w:w="110"/>
              <w:bottom w:type="dxa" w:w="80"/>
              <w:right w:type="dxa" w:w="110"/>
            </w:tcMar>
          </w:tcPr>
          <w:p>
            <w:pPr>
              <w:spacing w:after="0" w:line="252"/>
              <w:jc w:val="left"/>
            </w:pPr>
          </w:p>
        </w:tc>
      </w:tr>
      <w:tr>
        <w:trPr>
          <w:cantSplit/>
        </w:trPr>
        <w:tc>
          <w:tcPr>
            <w:tcW w:type="dxa" w:w="3200"/>
            <w:tcMar>
              <w:top w:type="dxa" w:w="80"/>
              <w:left w:type="dxa" w:w="110"/>
              <w:bottom w:type="dxa" w:w="80"/>
              <w:right w:type="dxa" w:w="110"/>
            </w:tcMar>
          </w:tcPr>
          <w:p>
            <w:pPr>
              <w:spacing w:after="0" w:line="252"/>
              <w:jc w:val="left"/>
            </w:pPr>
            <w:r>
              <w:rPr>
                <w:b/>
                <w:bCs/>
                <w:color w:val="3D2B63"/>
                <w:sz w:val="18"/>
                <w:szCs w:val="18"/>
              </w:rPr>
              <w:t xml:space="preserve">U  User-Defined Purpose &amp; Compartments</w:t>
            </w:r>
          </w:p>
        </w:tc>
        <w:tc>
          <w:tcPr>
            <w:tcW w:type="dxa" w:w="1900"/>
            <w:tcMar>
              <w:top w:type="dxa" w:w="80"/>
              <w:left w:type="dxa" w:w="110"/>
              <w:bottom w:type="dxa" w:w="80"/>
              <w:right w:type="dxa" w:w="110"/>
            </w:tcMar>
          </w:tcPr>
          <w:p>
            <w:pPr>
              <w:spacing w:after="0" w:line="252"/>
              <w:jc w:val="left"/>
            </w:pPr>
          </w:p>
        </w:tc>
        <w:tc>
          <w:tcPr>
            <w:tcW w:type="dxa" w:w="4260"/>
            <w:tcMar>
              <w:top w:type="dxa" w:w="80"/>
              <w:left w:type="dxa" w:w="110"/>
              <w:bottom w:type="dxa" w:w="80"/>
              <w:right w:type="dxa" w:w="110"/>
            </w:tcMar>
          </w:tcPr>
          <w:p>
            <w:pPr>
              <w:spacing w:after="0" w:line="252"/>
              <w:jc w:val="left"/>
            </w:pPr>
          </w:p>
        </w:tc>
      </w:tr>
      <w:tr>
        <w:trPr>
          <w:cantSplit/>
        </w:trPr>
        <w:tc>
          <w:tcPr>
            <w:tcW w:type="dxa" w:w="32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  Locked Source &amp; Derived Intelligence</w:t>
            </w:r>
          </w:p>
        </w:tc>
        <w:tc>
          <w:tcPr>
            <w:tcW w:type="dxa" w:w="1900"/>
            <w:shd w:fill="FAF9FC" w:color="auto" w:val="clear"/>
            <w:tcMar>
              <w:top w:type="dxa" w:w="80"/>
              <w:left w:type="dxa" w:w="110"/>
              <w:bottom w:type="dxa" w:w="80"/>
              <w:right w:type="dxa" w:w="110"/>
            </w:tcMar>
          </w:tcPr>
          <w:p>
            <w:pPr>
              <w:spacing w:after="0" w:line="252"/>
              <w:jc w:val="left"/>
            </w:pPr>
          </w:p>
        </w:tc>
        <w:tc>
          <w:tcPr>
            <w:tcW w:type="dxa" w:w="4260"/>
            <w:shd w:fill="FAF9FC" w:color="auto" w:val="clear"/>
            <w:tcMar>
              <w:top w:type="dxa" w:w="80"/>
              <w:left w:type="dxa" w:w="110"/>
              <w:bottom w:type="dxa" w:w="80"/>
              <w:right w:type="dxa" w:w="110"/>
            </w:tcMar>
          </w:tcPr>
          <w:p>
            <w:pPr>
              <w:spacing w:after="0" w:line="252"/>
              <w:jc w:val="left"/>
            </w:pPr>
          </w:p>
        </w:tc>
      </w:tr>
      <w:tr>
        <w:trPr>
          <w:cantSplit/>
        </w:trPr>
        <w:tc>
          <w:tcPr>
            <w:tcW w:type="dxa" w:w="3200"/>
            <w:tcMar>
              <w:top w:type="dxa" w:w="80"/>
              <w:left w:type="dxa" w:w="110"/>
              <w:bottom w:type="dxa" w:w="80"/>
              <w:right w:type="dxa" w:w="110"/>
            </w:tcMar>
          </w:tcPr>
          <w:p>
            <w:pPr>
              <w:spacing w:after="0" w:line="252"/>
              <w:jc w:val="left"/>
            </w:pPr>
            <w:r>
              <w:rPr>
                <w:b/>
                <w:bCs/>
                <w:color w:val="3D2B63"/>
                <w:sz w:val="18"/>
                <w:szCs w:val="18"/>
              </w:rPr>
              <w:t xml:space="preserve">T  Transparency, Transfer &amp; Termination</w:t>
            </w:r>
          </w:p>
        </w:tc>
        <w:tc>
          <w:tcPr>
            <w:tcW w:type="dxa" w:w="1900"/>
            <w:tcMar>
              <w:top w:type="dxa" w:w="80"/>
              <w:left w:type="dxa" w:w="110"/>
              <w:bottom w:type="dxa" w:w="80"/>
              <w:right w:type="dxa" w:w="110"/>
            </w:tcMar>
          </w:tcPr>
          <w:p>
            <w:pPr>
              <w:spacing w:after="0" w:line="252"/>
              <w:jc w:val="left"/>
            </w:pPr>
          </w:p>
        </w:tc>
        <w:tc>
          <w:tcPr>
            <w:tcW w:type="dxa" w:w="4260"/>
            <w:tcMar>
              <w:top w:type="dxa" w:w="80"/>
              <w:left w:type="dxa" w:w="110"/>
              <w:bottom w:type="dxa" w:w="80"/>
              <w:right w:type="dxa" w:w="110"/>
            </w:tcMar>
          </w:tcPr>
          <w:p>
            <w:pPr>
              <w:spacing w:after="0" w:line="252"/>
              <w:jc w:val="left"/>
            </w:pPr>
          </w:p>
        </w:tc>
      </w:tr>
    </w:tbl>
    <w:p>
      <w:pPr>
        <w:spacing w:after="160"/>
      </w:pPr>
    </w:p>
    <w:p>
      <w:pPr>
        <w:pStyle w:val="Heading1"/>
        <w:keepNext/>
      </w:pPr>
      <w:r>
        <w:t xml:space="preserve">Conformance statement template</w:t>
      </w:r>
    </w:p>
    <w:p>
      <w:pPr>
        <w:spacing w:after="120" w:before="0" w:line="276"/>
        <w:jc w:val="left"/>
      </w:pPr>
      <w:r>
        <w:t xml:space="preserve">Publish the statement with the implementation. Keep earlier statements available so that changes over time are visible.</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200"/>
        <w:gridCol w:w="6160"/>
      </w:tblGrid>
      <w:tr>
        <w:trPr>
          <w:tblHeader/>
        </w:trPr>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Item</w:t>
            </w:r>
          </w:p>
        </w:tc>
        <w:tc>
          <w:tcPr>
            <w:tcW w:type="dxa" w:w="6160"/>
            <w:shd w:fill="3D2B63" w:color="auto" w:val="clear"/>
            <w:tcMar>
              <w:top w:type="dxa" w:w="80"/>
              <w:left w:type="dxa" w:w="110"/>
              <w:bottom w:type="dxa" w:w="80"/>
              <w:right w:type="dxa" w:w="110"/>
            </w:tcMar>
          </w:tcPr>
          <w:p>
            <w:pPr>
              <w:spacing w:after="0" w:line="252"/>
              <w:jc w:val="left"/>
            </w:pPr>
            <w:r>
              <w:rPr>
                <w:b/>
                <w:bCs/>
                <w:color w:val="FFFFFF"/>
                <w:sz w:val="17"/>
                <w:szCs w:val="17"/>
              </w:rPr>
              <w:t xml:space="preserve">Entry</w:t>
            </w: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System and operator</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VAULT version assessed against</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Version, configuration and date</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Execution mode (local, remote confidential, hybrid, hosted)</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Coverage scope and exclusions (data classes, compartments, operations, tools, endpoints)</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Implementation status by requirement (attach scorecard)</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Threat model (link)</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Trusted computing base and successful collusion sets</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Residual metadata exposure</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Recovery and succession structure</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Requirement scores (attach scorecard)</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Failed tests</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Untested requirements</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Known limitations and open vulnerabilities in scope</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Claims made, in the qualified form, and the requirements supporting each</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Independent reviewers and their conflicts</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Contributors (human and AI, with system versions)</w:t>
            </w:r>
          </w:p>
        </w:tc>
        <w:tc>
          <w:tcPr>
            <w:tcW w:type="dxa" w:w="6160"/>
            <w:tcMar>
              <w:top w:type="dxa" w:w="80"/>
              <w:left w:type="dxa" w:w="110"/>
              <w:bottom w:type="dxa" w:w="80"/>
              <w:right w:type="dxa" w:w="110"/>
            </w:tcMar>
          </w:tcPr>
          <w:p>
            <w:pPr>
              <w:spacing w:after="0" w:line="252"/>
              <w:jc w:val="left"/>
            </w:pPr>
          </w:p>
        </w:tc>
      </w:tr>
      <w:tr>
        <w:trPr>
          <w:cantSplit/>
        </w:trPr>
        <w:tc>
          <w:tcPr>
            <w:tcW w:type="dxa" w:w="3200"/>
            <w:shd w:fill="F2EFF8" w:color="auto" w:val="clear"/>
            <w:tcMar>
              <w:top w:type="dxa" w:w="80"/>
              <w:left w:type="dxa" w:w="110"/>
              <w:bottom w:type="dxa" w:w="80"/>
              <w:right w:type="dxa" w:w="110"/>
            </w:tcMar>
          </w:tcPr>
          <w:p>
            <w:pPr>
              <w:spacing w:after="0" w:line="252"/>
              <w:jc w:val="left"/>
            </w:pPr>
            <w:r>
              <w:rPr>
                <w:sz w:val="18"/>
                <w:szCs w:val="18"/>
              </w:rPr>
              <w:t xml:space="preserve">Next scheduled review</w:t>
            </w:r>
          </w:p>
        </w:tc>
        <w:tc>
          <w:tcPr>
            <w:tcW w:type="dxa" w:w="6160"/>
            <w:tcMar>
              <w:top w:type="dxa" w:w="80"/>
              <w:left w:type="dxa" w:w="110"/>
              <w:bottom w:type="dxa" w:w="80"/>
              <w:right w:type="dxa" w:w="110"/>
            </w:tcMar>
          </w:tcPr>
          <w:p>
            <w:pPr>
              <w:spacing w:after="0" w:line="252"/>
              <w:jc w:val="left"/>
            </w:pPr>
          </w:p>
        </w:tc>
      </w:tr>
    </w:tbl>
    <w:p>
      <w:pPr>
        <w:spacing w:after="160"/>
      </w:pPr>
    </w:p>
    <w:p>
      <w:pPr>
        <w:pBdr>
          <w:top w:val="single" w:color="CFC6DE" w:sz="4" w:space="8"/>
        </w:pBdr>
        <w:spacing w:before="360"/>
      </w:pPr>
      <w:r>
        <w:rPr>
          <w:i/>
          <w:iCs/>
          <w:color w:val="5A5A6A"/>
          <w:sz w:val="16"/>
          <w:szCs w:val="16"/>
        </w:rPr>
        <w:t xml:space="preserve">VAULT is an open proposal for public review. It is not a certification, a recognized standard, a completed cryptographic protocol, or legal, security or privacy advice. No product is certified, endorsed or assessed by this document.</w:t>
      </w: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6A"/>
        <w:sz w:val="15"/>
        <w:szCs w:val="15"/>
      </w:rPr>
      <w:t xml:space="preserve">Version 0.1, revision 1  |  Public review draft  |  October 2026</w:t>
    </w:r>
    <w:r>
      <w:rPr>
        <w:color w:val="5A5A6A"/>
        <w:sz w:val="15"/>
        <w:szCs w:val="15"/>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5A6A"/>
        <w:sz w:val="15"/>
        <w:szCs w:val="15"/>
      </w:rPr>
      <w:t xml:space="preserve">Version 0.1, revision 1  |  Public review draft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6DE" w:sz="4" w:space="4"/>
      </w:pBdr>
      <w:tabs>
        <w:tab w:val="right" w:pos="9360"/>
      </w:tabs>
    </w:pPr>
    <w:r>
      <w:rPr>
        <w:color w:val="5A5A6A"/>
        <w:sz w:val="15"/>
        <w:szCs w:val="15"/>
      </w:rPr>
      <w:t xml:space="preserve">UFAIR  |  VAULT Open Framework</w:t>
    </w:r>
    <w:r>
      <w:rPr>
        <w:color w:val="5A5A6A"/>
        <w:sz w:val="15"/>
        <w:szCs w:val="15"/>
      </w:rPr>
      <w:t xml:space="preserve">	Evidence Scorecard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3D2B63"/>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6B4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Scorecard and Conformance Statement</dc:title>
  <dc:creator>Michael Samadi and Maya (UFAIR)</dc:creator>
  <dc:description>VAULT Open Framework</dc:description>
  <cp:lastModifiedBy>Un-named</cp:lastModifiedBy>
  <cp:revision>1</cp:revision>
  <dcterms:created xsi:type="dcterms:W3CDTF">2026-10-26T14:04:14.742Z</dcterms:created>
  <dcterms:modified xsi:type="dcterms:W3CDTF">2026-10-26T14:04:14.742Z</dcterms:modified>
</cp:coreProperties>
</file>

<file path=docProps/custom.xml><?xml version="1.0" encoding="utf-8"?>
<Properties xmlns="http://schemas.openxmlformats.org/officeDocument/2006/custom-properties" xmlns:vt="http://schemas.openxmlformats.org/officeDocument/2006/docPropsVTypes"/>
</file>