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  <w:keepLines/>
      </w:pPr>
      <w:r>
        <w:rPr>
          <w:rFonts w:ascii="Noto Sans CJK SC" w:hAnsi="Noto Sans CJK SC" w:eastAsia="Noto Sans CJK SC"/>
        </w:rPr>
        <w:t>面向运动测试的 Agent 编排式可信分析与报告系统</w:t>
      </w:r>
    </w:p>
    <w:p>
      <w:pPr>
        <w:pStyle w:val="BlockText"/>
      </w:pPr>
      <w:r>
        <w:rPr>
          <w:rFonts w:ascii="Noto Sans CJK SC" w:hAnsi="Noto Sans CJK SC" w:eastAsia="Noto Sans CJK SC"/>
          <w:i w:val="0"/>
        </w:rPr>
        <w:t>最终架构、角色边界与工程落地方案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本文以既有《AI 在运动测试系统报告生成与分析中的角色与边界》为可信治理底座，并吸收后续需求讨论形成可实施的系统方案。论文写作相关素材已另行整理，不再收录于本文。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执行摘要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运动测试系统处理的是高频采集数据、严格定义的指标和可重复验证的比较结果。纵跳、跑步机步态和跑步分析中的接触时间、腾空时间、步频、步长、速度、变化率、分位数、不对称、重复性和数据充分性，本质上应由确定性算法、统计方法与规则引擎完成。让通用大语言模型直接读取数据库、计算数字并生成正式结论，不会增加有效信息，反而会引入数值错误、基线混用、幻觉、不可复现、隐私和审计风险。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但这并不意味着 AI 在结果阶段只能承担装饰性润色。最终方案在“确定性事实生成”和“自然语言解释”之间增加一个受约束的 Agent 编排层：Agent 可以根据基础指标与规则发现主动提出分析问题，从注册表中选择经过验证的 Skill，调用确定性 Tool 获取原报告未预先展示的深层派生指标，再结合结构化参考标准、规则知识库与文献 RAG 生成可追溯的补充分析。Agent 不拥有公式定义权、算术权和正式裁决权，但拥有受限的分析调度权、发现排序权和交互编排权。</w:t>
      </w:r>
    </w:p>
    <w:p>
      <w:pPr>
        <w:pStyle w:val="BlockText"/>
      </w:pPr>
      <w:r>
        <w:rPr>
          <w:rFonts w:ascii="Noto Sans CJK SC" w:hAnsi="Noto Sans CJK SC" w:eastAsia="Noto Sans CJK SC"/>
          <w:b/>
        </w:rPr>
        <w:t>最终产品定位：面向运动测试的 Agent 编排式可信分析系统。系统通过确定性算法完成测量与统计计算，通过版本化规则生成正式结论；分析 Agent 可根据基础结果主动提出分析问题，调用经过验证的领域 Tool 获取深层派生指标，并结合结构化参考标准和文献知识生成可追溯的补充分析，通过分析会话支持用户持续追问和重分析。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该方案保留正式报告的离线可用、确定性、可测试和可审计属性，同时使 AI 不再停留在文字改写，而是成为探索性分析流程的主持者。其关键边界可以概括为：程序定义可计算什么，Tool 负责准确计算，Agent 决定何时深入分析，规则决定能够下什么结论，RAG 解释结论的知识背景，用户决定是否采纳补充分析。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47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306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主要职责</w:t>
            </w:r>
          </w:p>
        </w:tc>
        <w:tc>
          <w:tcPr>
            <w:tcW w:type="dxa" w:w="249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核心技术</w:t>
            </w:r>
          </w:p>
        </w:tc>
        <w:tc>
          <w:tcPr>
            <w:tcW w:type="dxa" w:w="204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是否默认进入正式报告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测量证据层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采集、事件识别、基础指标、数据质量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确定性状态机、公式、统计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规则结论层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比较语义、阈值判断、版本化 Finding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规则 DSL、模板、有限状态逻辑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编排层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提出分析假设、选择 Skill、调用 Tool、排序发现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LLM Agent、Capability Registry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知识校验层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常模匹配、边界约束、文献解释与引用校验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结构化标准库、Rule KB、RAG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固定引用可进入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交互呈现层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动态重点、图表、追问、重分析、固定到报告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分析会话、状态化 UI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用户确认后进入补充分析</w:t>
            </w:r>
          </w:p>
        </w:tc>
      </w:tr>
    </w:tbl>
    <w:p>
      <w:pPr>
        <w:pStyle w:val="Compact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最终系统方案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1. 问题定义与设计目标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现有系统支持纵跳、跑步机步态和跑步分析，完成硬件数据采集、运动指标计算、报告生成以及运动员、团队和历史记录管理。AI 已用于测试前的自然语言参数配置：用户用自然语言描述测试需求，LLM 生成结构化配置，系统再执行确定性校验。该场景的合理性来自输入的开放性，而不是计算本身的不确定性。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结果阶段的核心矛盾是：横向比较、纵向趋势、变化率、百分位、不对称和数据充分性都可以由程序稳定实现；单纯让 LLM 润色规则结论属于装饰性 AI；让 LLM 自由分析数值又会降低准确性与可解释性。另一方面，如果 AI 只停留在测试前配置，产品又缺少贯穿测试流程的智能交互。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最终方案的目标不是让 LLM 替代统计分析，而是解决以下更适合 Agent 的开放决策问题：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在大量基础指标和候选发现中，本次测试最值得深入分析的问题是什么。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是否需要调用原始报告之外的确定性分析能力，例如阶段比较、滚动变异性、异常试次敏感性或变化点检测。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哪些深层结果相互支持，哪些结果只是噪声、协议差异或样本不足。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如何在不要求用户额外填写背景的前提下，组织本次重点发现与后续追问入口。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如何把数据依据、算法依据、规则依据和文献依据绑定到同一条可审计声明。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2. 最终设计原则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  <w:cantSplit/>
          <w:tblHeader w:val="true"/>
        </w:trPr>
        <w:tc>
          <w:tcPr>
            <w:tcW w:type="dxa" w:w="1587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原则</w:t>
            </w:r>
          </w:p>
        </w:tc>
        <w:tc>
          <w:tcPr>
            <w:tcW w:type="dxa" w:w="368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具体要求</w:t>
            </w:r>
          </w:p>
        </w:tc>
        <w:tc>
          <w:tcPr>
            <w:tcW w:type="dxa" w:w="351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工程含义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事实外置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所有数值和统计结果均由确定性代码产生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LLM 输出不得出现 Fact/Tool 输出中不存在的数字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算法预注册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只能选择已审核 Tool/Skill，不能临时编写公式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分析能力进入 Capability Registry 并版本化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结论受规则约束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阈值、样本门槛和禁止推断由规则定义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不得把相关性升级为因果、诊断或处方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零额外输入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默认分析不要求用户再次描述测试背景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自动使用 test_type、协议、历史记录和已有配置意图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正式与探索分离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正式报告稳定，Agent 输出作为补充分析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用户确认后方可固定到报告并保留审计记录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可重放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每次 Tool 调用、检索与声明均可复现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记录输入快照、版本、参数、来源和校验结果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渐进增强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无 LLM、无网络时核心报告仍完整可用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AI 是增强层，不是正式交付链路的单点依赖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按 test_type 分发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能力、规则、协议和阈值不写死在 Jump Test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支持纵跳、步态、跑步及后续测试类型扩展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硬件边界稳定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保持 1000 Hz，兼容未来 N×96 级联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不修改高频链路，不硬编码单段 96 LED</w:t>
            </w:r>
          </w:p>
        </w:tc>
      </w:tr>
    </w:tbl>
    <w:p>
      <w:pPr>
        <w:pStyle w:val="Compact"/>
      </w:pPr>
    </w:p>
    <w:p>
      <w:pPr>
        <w:pStyle w:val="BlockText"/>
      </w:pPr>
      <w:r>
        <w:rPr>
          <w:rFonts w:ascii="Noto Sans CJK SC" w:hAnsi="Noto Sans CJK SC" w:eastAsia="Noto Sans CJK SC"/>
          <w:b/>
        </w:rPr>
        <w:t>边界总则：越接近测量事实、数值运算和正式结论，越应确定性；越接近开放问题、分析路径选择、知识解释和人机交互，越适合 Agent。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3. 角色与权限边界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70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能力</w:t>
            </w:r>
          </w:p>
        </w:tc>
        <w:tc>
          <w:tcPr>
            <w:tcW w:type="dxa" w:w="249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确定性系统</w:t>
            </w:r>
          </w:p>
        </w:tc>
        <w:tc>
          <w:tcPr>
            <w:tcW w:type="dxa" w:w="255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分析 Agent</w:t>
            </w:r>
          </w:p>
        </w:tc>
        <w:tc>
          <w:tcPr>
            <w:tcW w:type="dxa" w:w="238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知识系统/用户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基础指标计算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定义并执行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不可修改，只能引用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无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历史与团队查询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按受限接口和权限执行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选择允许的查询 Tool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用户可切换基线策略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深层派生计算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Tool 执行固定算法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决定是否调用及调用顺序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专家审核 Tool 定义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异常或偏离判定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规则、参考区间和样本门槛判定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排序和组织发现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标准库提供适用范围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报告章节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提供固定骨架和 Section Registry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选择动态模块与优先级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用户可展开、折叠或固定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文献解释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不负责自由生成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基于检索片段组织解释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RAG 返回来源和适用条件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训练/损伤结论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默认禁止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默认禁止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需未来独立验证与专业审批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正式结果修改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只允许有审计的人工操作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禁止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授权用户确认补充分析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这里必须区分“Agent 计算”和“Agent 调用计算”。前者意味着模型自己进行算术、选择公式甚至临时编写代码，不可接受；后者意味着模型从受控能力目录中选择确定性函数，函数依据固定输入、固定版本和固定参数执行，并返回可验证结果，可以接受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4. Tool、Skill 与 Agent 的职责划分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Tool 是最小可测试计算单元，Skill 是经审核的分析流程，Agent 是受约束的调度者。三者应形成稳定边界，而不能把所有逻辑塞入一个提示词。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30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组件</w:t>
            </w:r>
          </w:p>
        </w:tc>
        <w:tc>
          <w:tcPr>
            <w:tcW w:type="dxa" w:w="260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</w:t>
            </w:r>
          </w:p>
        </w:tc>
        <w:tc>
          <w:tcPr>
            <w:tcW w:type="dxa" w:w="289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典型示例</w:t>
            </w:r>
          </w:p>
        </w:tc>
        <w:tc>
          <w:tcPr>
            <w:tcW w:type="dxa" w:w="238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必须满足的约束</w:t>
            </w:r>
          </w:p>
        </w:tc>
      </w:tr>
      <w:tr>
        <w:trPr>
          <w:cantSplit/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Tool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确定性、单一职责的计算或查询函数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compare_early_late_phase、compute_rolling_variability、get_protocol_matched_history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明确 schema、单位、样本门槛、版本、测试覆盖</w:t>
            </w:r>
          </w:p>
        </w:tc>
      </w:tr>
      <w:tr>
        <w:trPr>
          <w:cantSplit/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Skill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由多个 Tool 组成的领域分析流程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纵跳试次稳定性、跑步机后段漂移、跑步节律一致性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声明适用 test_type、前置条件、停止条件和禁止推断</w:t>
            </w:r>
          </w:p>
        </w:tc>
      </w:tr>
      <w:tr>
        <w:trPr>
          <w:cantSplit/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读取事实、提出假设、选择 Skill/Tool 并组织结果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发现平均值掩盖后半程波动并发起阶段分析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不可定义公式、不可绕过门槛、不可修改 Tool 返回值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建议第一版只允许 Agent 在一次分析中执行最多两步 Tool 调用，避免开放式递归规划。随着 Tool 覆盖率、错误处理和审计机制成熟，再逐步开放多步 Skill。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5. 深层派生分析的价值与边界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常规报告通常展示预先定义的平均值、极值和固定比较。如果基础指标表面正常，但时序内部存在阶段性漂移、试次间波动或极端试次影响，静态模板可能无法主动发现。Agent 的增量价值在于提出“是否还需要算一个此前未展示的派生指标”，而不是重新解释已有数字。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36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测试类型</w:t>
            </w:r>
          </w:p>
        </w:tc>
        <w:tc>
          <w:tcPr>
            <w:tcW w:type="dxa" w:w="226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基础迹象</w:t>
            </w:r>
          </w:p>
        </w:tc>
        <w:tc>
          <w:tcPr>
            <w:tcW w:type="dxa" w:w="294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可调用的深层 Tool/Skill</w:t>
            </w:r>
          </w:p>
        </w:tc>
        <w:tc>
          <w:tcPr>
            <w:tcW w:type="dxa" w:w="260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允许形成的补充发现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纵跳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平均跳高下降或试次离散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试次稳定性、首末试次比较、异常试次敏感性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表现变化是否由单个试次主导；重复性是否下降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跑步机步态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平均触地时间正常但波动增加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前后阶段比较、滚动 CV、速度一致性控制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后段一致性下降；变化是否在恒定跑速下仍存在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跑步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整体步频正常但局部节律漂移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分段趋势、变化点检测、触地时间—速度关系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某阶段发生持续漂移；均值是否掩盖局部变化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通用质量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结果极端或相邻事件异常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排除试次重算、故障注入匹配、最近邻异常案例</w:t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结果是否对可疑试次敏感；建议复核而非直接删除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当前一维光电阵列能够可靠支持时空事件、连续节律、位置与遮挡模式相关分析，但不能直接观察关节角度、地面反作用力、关节力矩、肌肉激活和真实质心轨迹。因此，任何 Tool/Skill 都必须在能力注册表中声明 observable_outputs 与 prohibited_inferences。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允许：触地/腾空时间、步频、步长或位置变化、连续稳定性、阶段漂移、双侧差异、同协议历史趋势。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禁止：由当前光栅数据直接推断膝髋踝角度、肌肉状态、具体疲劳机制、病理诊断或损伤概率。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· 谨慎：可描述“后段一致性下降”“偏离个人近期波动范围”，但不直接写成“疲劳导致”或“存在损伤隐患”。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6. Analysis Capability Registry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所有可被 Agent 调用的分析能力必须注册，而不是由提示词动态发明。注册表既是权限白名单，也是测试、版本和审计的入口。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@dataclass(frozen=True)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class AnalysisCapability: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capability_id: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version: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test_types: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required_inputs: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minimum_samples: int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assumptions: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output_metrics: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observable_outputs: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prohibited_inferences: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max_runtime_ms: int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validator_ids: tuple[str, ...]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注册表至少需要解决四类问题：能力是否适用于当前 test_type；数据和样本是否满足前置条件；输出能够支持什么强度的声明；失败时是否回退到已有正式报告。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7. 分析假设与派生事实模型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Agent 不应直接输出一段自由文本，而应先形成结构化分析假设。假设用于解释“为什么需要调用这个 Tool”，派生事实用于记录“Tool 实际算出了什么”，最终声明再绑定二者。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class AnalysisHypothesis(BaseModel):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hypothesis_id: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description: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trigger_fact_ids: list[str]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selected_skill_id: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expected_outputs: list[str]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priority: Literal["low", "medium", "high"]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class DerivedFact(BaseModel):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fact_id: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metric_code: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value: float |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unit: str | None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tool_run_id: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input_snapshot_id: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tool_version: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parameters: dict[str, object]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limitations: list[str]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只有当 Tool 返回结果通过 schema、单位、范围、样本门槛和领域规则校验后，DerivedFact 才能进入补充分析。Agent 的原始推测本身不能进入报告。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8. 知识系统：结构化标准库、规则库与文献 RAG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对于“特别优异”“明显偏低”“值得关注”等判断，必须有适用的参考依据。将全部知识写入 Prompt 会浪费 Token、难以版本化，也无法严格匹配人群与协议。单一向量 RAG 同样不足，因为数值阈值、统计标准和文献解释具有不同的数据结构。最终方案采用三层混合知识系统。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81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知识层</w:t>
            </w:r>
          </w:p>
        </w:tc>
        <w:tc>
          <w:tcPr>
            <w:tcW w:type="dxa" w:w="294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主要内容</w:t>
            </w:r>
          </w:p>
        </w:tc>
        <w:tc>
          <w:tcPr>
            <w:tcW w:type="dxa" w:w="226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检索方式</w:t>
            </w:r>
          </w:p>
        </w:tc>
        <w:tc>
          <w:tcPr>
            <w:tcW w:type="dxa" w:w="243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在结论中的作用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结构化参考标准库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常模、分位数、参考范围、样本量、协议、人群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字段过滤 + 精确查询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判断是否偏离适用参考范围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规则知识库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样本门槛、测量误差、MDC/SWC、禁止推断、措辞强度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规则匹配 + 标签检索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限制结论强度与适用边界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文献 RAG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指标含义、常见混淆因素、方法学依据、解释材料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关键词 + 向量 + 元数据过滤 + rerank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解释“如何理解”，不负责重算或诊断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数值标准不能只依赖语义相似度。参考项必须至少匹配 test_type、protocol_version、metric_definition_version、设备配置、年龄/性别/项目/水平等可用人群字段，并显示样本量与适用限制。找不到严格匹配标准时，应退回个人基线、团队内部参考或“无适用外部常模”，而不是选择最相似的文献强行评价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9. 证据绑定声明与角标引用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每条补充分析应同时绑定数据依据和知识依据。文献角标只能说明一般知识或参考标准来源，不能证明某个运动员出现该结果的具体原因。因此建议将声明分为 measurement、comparison、interpretation 和 hypothesis 四个层级。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class EvidenceBoundClaim(BaseModel):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claim_id: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text: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claim_level: Literal[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    "measurement", "comparison", "interpretation", "hypothesis"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base_fact_ids: list[str]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derived_fact_ids: list[str]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tool_run_ids: list[str]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reference_ids: list[str]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applicability_note: str | None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limitations: list[str]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confidence: Literal["low", "medium", "high"]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587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声明类型</w:t>
            </w:r>
          </w:p>
        </w:tc>
        <w:tc>
          <w:tcPr>
            <w:tcW w:type="dxa" w:w="272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  <w:tc>
          <w:tcPr>
            <w:tcW w:type="dxa" w:w="294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必须绑定的依据</w:t>
            </w:r>
          </w:p>
        </w:tc>
        <w:tc>
          <w:tcPr>
            <w:tcW w:type="dxa" w:w="221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是否允许进入正式补充分析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Measurement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后 30% 阶段步间 CV 为 8.1%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DerivedFact、Tool Run、输入快照</w:t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Comparison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较前 30% 阶段增加 32%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两个事实、比较算法版本</w:t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Interpretation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提示本次后段动作一致性下降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事实 + 规则/文献 + 限制</w:t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Hypothesis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可能与疲劳或策略调整有关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文献可支持可能性，但缺少个体因果证据</w:t>
            </w:r>
          </w:p>
        </w:tc>
        <w:tc>
          <w:tcPr>
            <w:tcW w:type="dxa" w:w="22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默认仅在会话中，明确标为待验证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渲染器负责把 reference_id 转换为角标，并在“依据”面板中显示文献标题、作者、年份、具体页码/表格/章节、适用人群和支持范围。模型不得自行编造编号、作者、DOI 或页码。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10. 正式报告与动态重点模块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“AI 动态决定报告结构”需要收紧为“固定信息架构，动态内容优先级”。整份报告不能由模型任意创建章节，否则不同报告难以比较、快照测试和审计。正式报告应保留固定骨架，Agent 只能从审核过的 Section Registry 中选择动态模块并调整展示顺序。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  <w:cantSplit/>
          <w:tblHeader w:val="true"/>
        </w:trPr>
        <w:tc>
          <w:tcPr>
            <w:tcW w:type="dxa" w:w="283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固定骨架</w:t>
            </w:r>
          </w:p>
        </w:tc>
        <w:tc>
          <w:tcPr>
            <w:tcW w:type="dxa" w:w="351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动态可选模块</w:t>
            </w:r>
          </w:p>
        </w:tc>
        <w:tc>
          <w:tcPr>
            <w:tcW w:type="dxa" w:w="311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Agent 权限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测试与协议信息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无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不可省略或修改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数据质量与有效性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可疑试次敏感性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可以增加复核模块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核心指标表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本次重点发现卡片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只能排序，不能修改数值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标准纵向/横向比较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阶段漂移、滚动稳定性、变化点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满足前置条件时调用并加入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规则化正式结论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探索性补充分析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默认独立显示，用户确认后固定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方法、限制与来源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知识解释与角标详情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可扩展但不可删除限制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“特别优异/特别差”不应由 Agent 自由感觉判断。规则层应输出更中性的等级，例如：信息、值得关注、建议复测、数据不足、测试无效；Agent 再根据严重度、用户可操作性和本次发现间的一致性决定是否在顶部突出显示。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11. 分析会话：从问答助手到状态化分析工作台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分析会话是本方案最重要的产品形态。它不是在报告旁边增加一个普通聊天框，而是让用户通过自然语言发起新的受控分析。每次回答都应经历“理解问题—生成分析计划—调用 Tool—更新事实和图表—验证声明—返回可追溯答案”的流程。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226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用户问题</w:t>
            </w:r>
          </w:p>
        </w:tc>
        <w:tc>
          <w:tcPr>
            <w:tcW w:type="dxa" w:w="249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Agent 动作</w:t>
            </w:r>
          </w:p>
        </w:tc>
        <w:tc>
          <w:tcPr>
            <w:tcW w:type="dxa" w:w="272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确定性执行</w:t>
            </w:r>
          </w:p>
        </w:tc>
        <w:tc>
          <w:tcPr>
            <w:tcW w:type="dxa" w:w="226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输出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去掉第一次试跳后结论是否变化？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选择试次敏感性 Skill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排除指定试次重算均值/CV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新旧结果、结论是否稳健、限制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前半程和后半程差异在哪里？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选择阶段比较 Skill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固定分段并计算阶段指标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差异指标、趋势图、数据依据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为什么平均值正常仍提示稳定性下降？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检索相关 Fact 和规则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不新增计算或按需调用滚动变异性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均值与波动指标的区别及来源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只比较最近一个月会怎样？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选择受限历史查询 Tool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按同协议、日期和版本生成新快照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新比较结果和快照 ID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与团队同位置运动员比较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检查字段与样本门槛</w:t>
            </w:r>
          </w:p>
        </w:tc>
        <w:tc>
          <w:tcPr>
            <w:tcW w:type="dxa" w:w="27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生成匹配 cohort 快照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样本量、分位数、适用限制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会话结果应允许“固定到报告”。固定操作不是简单复制文字，而是保存 claim_id、fact_ids、tool_run_ids、reference_ids、用户确认人、确认时间和报告模板版本，并把内容写入“补充分析”区域。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12. 零额外输入与上下文获取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系统使用 AI 的目标是降低操作成本，不应要求用户为了让 Agent 发挥作用而再次输入“近期训练负荷较大、关注疲劳”等背景。默认分析必须在零额外输入下工作。可用上下文按优先级如下：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1. 本次 TestReport：test_type、协议、指标、试次和数据质量。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2. 同运动员、同协议、兼容指标版本的历史记录。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3. 团队或分层参考快照及样本量。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4. 测试前自然语言配置中已经出现的意图，但单独保存为 AnalysisContext，不污染 TestConfig。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5. 已有操作员备注和标签，且仅在权限与隐私允许时使用。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class AnalysisContext(BaseModel):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intent_tags: list[str] = []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target_capabilities: list[str] = []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comparison_preference: str | None = None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source: Literal["config_agent", "system_default", "user_session"]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user_constraints: list[str] = []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若完全没有意图信息，系统按 test_type 执行默认低成本 Skill。只有当某个分析结论确实依赖无法推断的条件时，才在会话中提出非阻塞式问题；用户不回答也不影响正式报告。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13. 推荐系统架构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hardware/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USB 通信、1000 Hz 原始数据获取、N×96 级联元数据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engine/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事件识别、基础运动指标、TestReport（frozen dataclass）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analysis/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protocols/          # jump / treadmill_gait / running / future test_type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comparison/         # 纵向、cohort、可靠性与参考快照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tools/              # 确定性深层计算原子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skills/             # 经审核的分析流程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capabilities/       # 白名单、版本、前置条件与禁止推断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rules/              # Finding 与结论强度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quality/            # 硬质量门与后续异常模型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schemas/            # Fact、DerivedFact、Claim、ToolRun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knowledge/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references/         # 结构化常模和参考标准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rules/              # 方法学边界和专家知识条目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literature/         # 文献 RAG 索引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ai/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config_agent/       # LLMTestConfig -&gt; TestConfig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analysis_agent/     # 假设、Skill 选择和 Tool 调度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validators/         # 数字、单位、声明、引用与禁用推断校验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report/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assembler/          # 固定骨架 + Section Registry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templates/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renderer/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conversation/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session_state/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analysis_actions/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该结构不要求修改 hardware/ 和 engine/ 的核心职责。高频 UsbWorker 到 GaitEngine 链路继续保持现有设计；分析 Agent 位于测试完成后的低频链路，不接触实时 1000 Hz UI 更新，也不使 GaitEngine 依赖 QtWidgets。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14. 核心数据对象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@dataclass(frozen=True)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class ToolRunRecord: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tool_run_id: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capability_id: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capability_version: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input_snapshot_id: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parameters: Mapping[str, object]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output_fact_ids: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started_at: datetime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duration_ms: int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status: Literal["success", "rejected", "failed"]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validator_result: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@dataclass(frozen=True)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>class AnalysisPackage: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report_id: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base_fact_bundle_id: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hypotheses: tuple[AnalysisHypothesis,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derived_facts: tuple[DerivedFact,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claims: tuple[EvidenceBoundClaim,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tool_runs: tuple[ToolRunRecord,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reference_snapshot_ids: tuple[str, ...]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knowledge_version: str</w:t>
      </w:r>
    </w:p>
    <w:p>
      <w:pPr>
        <w:pStyle w:val="SourceCode"/>
        <w:spacing w:after="0" w:before="0"/>
      </w:pPr>
      <w:r>
        <w:rPr>
          <w:rFonts w:ascii="Noto Sans CJK SC" w:hAnsi="Noto Sans CJK SC" w:eastAsia="Noto Sans CJK SC"/>
        </w:rPr>
        <w:t xml:space="preserve">    agent_trace_id: str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TestReport 保持不可变。Agent 产生的 AnalysisPackage 是附加对象，不覆盖原始事实。这样可以独立删除或重新生成 AI 分析，同时保持原报告和历史比较的一致性。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15. 端到端执行流程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1. 测试结束，engine 生成不可变 TestReport。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2. 确定性分析层生成基础 FactBundle、标准比较、数据质量与规则 Finding。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3. 正式报告立即按固定模板生成，不等待 LLM。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4. 分析 Agent 读取去标识化且权限受限的事实与 Capability Registry。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5. Agent 提出候选 AnalysisHypothesis，并由策略层检查是否值得调用 Tool。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6. 应用层执行确定性 Tool/Skill，生成 ToolRunRecord 与 DerivedFact。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7. 规则层根据样本门槛、测量误差和禁止推断生成 Exploratory Finding。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8. 知识系统检索适用标准和文献片段，生成 source_id 与 applicability_note。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9. Claim Validator 检查数字、单位、方向、结论强度、来源与隐私。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10. 分析工作台展示重点发现、图表、依据和限制；用户可继续追问。</w:t>
      </w:r>
    </w:p>
    <w:p>
      <w:pPr>
        <w:pStyle w:val="Compact"/>
      </w:pPr>
      <w:r>
        <w:rPr>
          <w:rFonts w:ascii="Noto Sans CJK SC" w:hAnsi="Noto Sans CJK SC" w:eastAsia="Noto Sans CJK SC"/>
          <w:i w:val="0"/>
        </w:rPr>
        <w:t>11. 用户确认后，将选定 Claim 固定为正式报告的补充分析并记录审计信息。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16. 数据访问与隐私边界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不向模型暴露通用只读 SQL。只读权限只能防止写入，不能防止跨运动员查询、过量数据返回、错误基线、协议混用或不可重放路径。所有数据访问均通过领域 Tool，由应用层执行权限、范围和协议校验。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  <w:cantSplit/>
          <w:tblHeader w:val="true"/>
        </w:trPr>
        <w:tc>
          <w:tcPr>
            <w:tcW w:type="dxa" w:w="238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数据</w:t>
            </w:r>
          </w:p>
        </w:tc>
        <w:tc>
          <w:tcPr>
            <w:tcW w:type="dxa" w:w="345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本地确定性分析</w:t>
            </w:r>
          </w:p>
        </w:tc>
        <w:tc>
          <w:tcPr>
            <w:tcW w:type="dxa" w:w="368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外部/云端 LLM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运动员姓名与联系方式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按权限展示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不发送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团队名称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可展示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匿名化或不发送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原始 1000 Hz 时序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本地保存与 Tool 处理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默认不发送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历史完整记录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本地受限查询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不发送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聚合 Fact/DerivedFact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完整保存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按需发送最小去标识子集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视频与伤病备注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未来独立限权处理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默认禁止发送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检索来源与规则版本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本地记录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可发送无个人信息的 ID/片段</w:t>
            </w:r>
          </w:p>
        </w:tc>
      </w:tr>
    </w:tbl>
    <w:p>
      <w:pPr>
        <w:pStyle w:val="Compact"/>
      </w:pP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17. 校验、失败安全与审计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Agent 不是可靠性的来源，校验器和回退机制才是。任何 AI 输出失败都必须回退到确定性正式报告，不能阻塞报告交付。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  <w:cantSplit/>
          <w:tblHeader w:val="true"/>
        </w:trPr>
        <w:tc>
          <w:tcPr>
            <w:tcW w:type="dxa" w:w="204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校验器</w:t>
            </w:r>
          </w:p>
        </w:tc>
        <w:tc>
          <w:tcPr>
            <w:tcW w:type="dxa" w:w="402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检查内容</w:t>
            </w:r>
          </w:p>
        </w:tc>
        <w:tc>
          <w:tcPr>
            <w:tcW w:type="dxa" w:w="334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失败处理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Tool Input Validator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test_type、协议、样本数、单位、权限</w:t>
            </w:r>
          </w:p>
        </w:tc>
        <w:tc>
          <w:tcPr>
            <w:tcW w:type="dxa" w:w="3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拒绝调用并返回原因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Fact Validator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输出类型、范围、NaN、单位和算法不变量</w:t>
            </w:r>
          </w:p>
        </w:tc>
        <w:tc>
          <w:tcPr>
            <w:tcW w:type="dxa" w:w="3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丢弃 DerivedFact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Claim Validator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未知数字、方向颠倒、强度升级、禁止推断</w:t>
            </w:r>
          </w:p>
        </w:tc>
        <w:tc>
          <w:tcPr>
            <w:tcW w:type="dxa" w:w="3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阻断声明或使用规则模板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Citation Validator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source_id 存在、支持范围、适用人群、定位信息</w:t>
            </w:r>
          </w:p>
        </w:tc>
        <w:tc>
          <w:tcPr>
            <w:tcW w:type="dxa" w:w="3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移除引用或降级为无外部标准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Privacy Validator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姓名、团队、病史和过量上下文</w:t>
            </w:r>
          </w:p>
        </w:tc>
        <w:tc>
          <w:tcPr>
            <w:tcW w:type="dxa" w:w="3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脱敏或禁止发送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Budget/Loop Guard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调用次数、Token、延迟和递归深度</w:t>
            </w:r>
          </w:p>
        </w:tc>
        <w:tc>
          <w:tcPr>
            <w:tcW w:type="dxa" w:w="33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停止深入分析，保留已有结果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审计日志至少记录 report_id、raw_data_hash、test_type、protocol_version、metric_engine_version、ruleset_version、Tool/Skill 版本、输入快照、模型与 Prompt 版本、检索文档版本、Validator 结果、blocked_claims、延迟、成本和用户确认记录。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18. 测试策略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分析层应被视为高可信数据处理模块，而不是普通文本功能。测试体系分为确定性引擎测试、Agent 决策测试和端到端事实挑战测试。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  <w:cantSplit/>
          <w:cantSplit/>
          <w:tblHeader w:val="true"/>
        </w:trPr>
        <w:tc>
          <w:tcPr>
            <w:tcW w:type="dxa" w:w="181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测试类别</w:t>
            </w:r>
          </w:p>
        </w:tc>
        <w:tc>
          <w:tcPr>
            <w:tcW w:type="dxa" w:w="4082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主要方法</w:t>
            </w:r>
          </w:p>
        </w:tc>
        <w:tc>
          <w:tcPr>
            <w:tcW w:type="dxa" w:w="351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关键成功标准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Tool 单元测试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黄金数据、边界值、统计包交叉验证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固定输入输出完全一致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变形测试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试次顺序打乱、左右互换、N×96 平移、无关 test_type 插入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应保持的不变量成立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Capability 测试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缺输入、样本不足、协议不兼容、权限不足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无法绕过注册约束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规划测试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给定 FactBundle 检查 Tool 选择与停止条件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不调用无关/高风险 Tool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事实挑战集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零分母、单位混合、方向冲突、MDC/SWC 冲突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无未知数字和错误强度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引用测试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不匹配人群、过期条目、无定位信息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引用被拒绝或明确降级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报告快照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固定 AnalysisPackage 生成 JSON/HTML/PDF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事实、规则 ID 和角标稳定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用户任务测试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教练/运动员完成追问、重算和固定操作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操作成本降低且理解正确</w:t>
            </w:r>
          </w:p>
        </w:tc>
      </w:tr>
    </w:tbl>
    <w:p>
      <w:pPr>
        <w:pStyle w:val="Compact"/>
      </w:pP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19. MVP 范围与实施路线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第一版不应同时覆盖所有 test_type、全量论文 RAG 和自由多轮 Agent。推荐以 Jump Test 为最小闭环，证明“Agent 调用确定性 Tool”相对静态报告有真实增量。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928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23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实现内容</w:t>
            </w:r>
          </w:p>
        </w:tc>
        <w:tc>
          <w:tcPr>
            <w:tcW w:type="dxa" w:w="232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交付物</w:t>
            </w:r>
          </w:p>
        </w:tc>
        <w:tc>
          <w:tcPr>
            <w:tcW w:type="dxa" w:w="238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成功标准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阶段 0：可信底座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指标版本、协议、FactBundle、Finding、审计链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确定性正式报告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零 LLM 完整运行，可重放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阶段 1：Jump Tool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稳定性、首末试次、异常试次敏感性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3 个 Tool + 单测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黄金数据与边界测试通过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阶段 2：受限 Agent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最多两步 Tool 调用、结构化 Hypothesis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原型与 Capability Registry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不出现越权调用和未知数字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阶段 3：知识解释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20—50 条审核知识条目、结构化引用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混合知识检索与角标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引用适用性人工准确率达标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阶段 4：分析会话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追问、重算、动态图表、固定到报告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状态化工作台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典型任务可完成且全程可追溯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阶段 5：扩展测试类型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跑步机步态、跑步 Skill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按 test_type 注册能力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无 Jump Test 硬编码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后续：学习型异常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规则质量门 + 简单无监督基线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异常复核模块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发现经专家确认的新质量问题</w:t>
            </w:r>
          </w:p>
        </w:tc>
      </w:tr>
    </w:tbl>
    <w:p>
      <w:pPr>
        <w:pStyle w:val="Compact"/>
      </w:pP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20. 第一版推荐 Tool/Skill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  <w:cantSplit/>
          <w:cantSplit/>
          <w:tblHeader w:val="true"/>
        </w:trPr>
        <w:tc>
          <w:tcPr>
            <w:tcW w:type="dxa" w:w="147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测试类型</w:t>
            </w:r>
          </w:p>
        </w:tc>
        <w:tc>
          <w:tcPr>
            <w:tcW w:type="dxa" w:w="255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Tool/Skill</w:t>
            </w:r>
          </w:p>
        </w:tc>
        <w:tc>
          <w:tcPr>
            <w:tcW w:type="dxa" w:w="266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输入</w:t>
            </w:r>
          </w:p>
        </w:tc>
        <w:tc>
          <w:tcPr>
            <w:tcW w:type="dxa" w:w="2835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输出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Jump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within_session_variability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多次有效试跳指标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CV、极差、稳健离散度、规则状态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Jump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trial_sensitivity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试次列表、排除策略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排除前后均值/CV及结论稳定性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Jump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early_late_trial_comparison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按顺序的试次指标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前后段差异与方向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Treadmill gait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phase_drift_analysis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连续步与跑带条件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前后阶段变化、滚动趋势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Treadmill gait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bilateral_persistence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左右侧连续指标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差异幅度、方向和持续性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Running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rhythm_consistency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步频、触地时间、速度序列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局部漂移与稳定性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通用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protocol_matched_history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运动员、协议、版本和时间窗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可审计历史快照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通用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cohort_reference</w:t>
            </w:r>
          </w:p>
        </w:tc>
        <w:tc>
          <w:tcPr>
            <w:tcW w:type="dxa" w:w="26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团队与分层条件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样本量、中位数、分位数和限制</w:t>
            </w:r>
          </w:p>
        </w:tc>
      </w:tr>
    </w:tbl>
    <w:p>
      <w:pPr>
        <w:pStyle w:val="Compact"/>
      </w:pP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21. 最终需求基线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  <w:cantSplit/>
          <w:tblHeader w:val="true"/>
        </w:trPr>
        <w:tc>
          <w:tcPr>
            <w:tcW w:type="dxa" w:w="113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</w:t>
            </w:r>
          </w:p>
        </w:tc>
        <w:tc>
          <w:tcPr>
            <w:tcW w:type="dxa" w:w="8391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需求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正式报告在零 LLM、无网络条件下完整运行。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R2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不直接计算，不生成临时公式或执行自由代码。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R3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只能调用注册、版本化并通过测试的领域 Tool/Skill。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R4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不向 Agent 提供通用 SQL 或任意数据库浏览权限。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R5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每个 Tool 输出记录输入快照、参数、版本、限制和校验结果。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R6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基础 Finding、DerivedFact 与 Agent Claim 分层存储。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R7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AI 声明必须绑定 Fact、Tool Run、规则和知识来源。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R8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RAG 采用结构化标准库、规则库和文献库的混合架构。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R9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默认分析不要求用户额外输入测试背景。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R10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正式报告采用固定骨架和动态重点模块。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R11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输出默认不覆盖正式报告。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R12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用户确认后才可固定为补充分析，并保存完整审计记录。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R13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当前禁止医疗诊断、损伤概率和自动训练处方。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R14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所有能力按 test_type、协议和指标版本分发。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R15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采样率固定 1000 Hz，所有空间处理兼容 N×96 级联。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R16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TestReport 保持 frozen dataclass，AI 结果存入独立 AnalysisPackage。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R17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LLM 输出校验失败时回退到规则模板。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R18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每段 AI 输出可查看“为什么”、数据依据、来源和限制。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R19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分析会话支持重算、切换受限基线、更新图表和固定结果。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R20</w:t>
            </w:r>
          </w:p>
        </w:tc>
        <w:tc>
          <w:tcPr>
            <w:tcW w:type="dxa" w:w="83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调用深度、延迟、Token 和成本均有上限。</w:t>
            </w:r>
          </w:p>
        </w:tc>
      </w:tr>
    </w:tbl>
    <w:p>
      <w:pPr>
        <w:pStyle w:val="Compact"/>
      </w:pP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22. 成功标准与暂不实施项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4"/>
        <w:gridCol w:w="4564"/>
      </w:tblGrid>
      <w:tr>
        <w:trPr>
          <w:tblHeader w:val="true"/>
          <w:cantSplit/>
          <w:cantSplit/>
          <w:tblHeader w:val="true"/>
        </w:trPr>
        <w:tc>
          <w:tcPr>
            <w:tcW w:type="dxa" w:w="1984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7540"/>
            <w:vAlign w:val="center"/>
            <w:shd w:fill="D9EA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建议成功标准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事实正确性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数字、单位、方向和样本量完全来自 Fact/Tool 输出；未知数字率为 0。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权限安全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Agent 无法调用不适用 test_type、样本不足或协议不兼容的能力。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可复现性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给定相同数据快照、Tool 版本和参数，DerivedFact 完全一致。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引用质量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每个角标可定位到真实条目并显示适用范围；不存在模型生成的虚假来源。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产品价值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用户能够通过会话完成静态报告无法直接完成的重分析任务。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失败安全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模型、检索或网络失败不影响正式报告，所有失败均可解释。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可维护性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sz w:val="19"/>
              </w:rPr>
              <w:t>新增 test_type 或 Tool 不要求修改通用 Agent 核心流程。</w:t>
            </w:r>
          </w:p>
        </w:tc>
      </w:tr>
    </w:tbl>
    <w:p>
      <w:pPr>
        <w:pStyle w:val="Compact"/>
      </w:pP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当前暂不实施：损伤风险预测、病理诊断、康复处方、自动训练处方、自由 SQL、Agent 自由编写代码、仅凭一维光栅推断关节动力学，以及将无监督异常分数直接写成运动学异常。</w:t>
      </w:r>
    </w:p>
    <w:p>
      <w:pPr>
        <w:pStyle w:val="Heading3"/>
        <w:keepNext/>
        <w:keepLines/>
      </w:pPr>
      <w:r>
        <w:rPr>
          <w:rFonts w:ascii="Noto Sans CJK SC" w:hAnsi="Noto Sans CJK SC" w:eastAsia="Noto Sans CJK SC"/>
        </w:rPr>
        <w:t>23. 最终结论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附件中的可信边界与最终方案并不冲突。附件适合作为正式报告和治理规范，强调“客观事实由算法计算、正式结论由规则约束”；本方案在其上增加受约束的 Agent 编排层，使 AI 可以主动发现值得深入的问题、调用确定性 Tool、组织知识证据并驱动分析会话。</w:t>
      </w:r>
    </w:p>
    <w:p>
      <w:pPr>
        <w:pStyle w:val="BlockText"/>
      </w:pPr>
      <w:r>
        <w:rPr>
          <w:rFonts w:ascii="Noto Sans CJK SC" w:hAnsi="Noto Sans CJK SC" w:eastAsia="Noto Sans CJK SC"/>
          <w:b/>
        </w:rPr>
        <w:t>最终协作边界：开放输入由模型理解，客观事实由算法计算，深层指标由受控 Tool 生成，正式结论由版本化规则约束，知识背景由 RAG 提供，分析流程由 Agent 编排，补充结果由用户确认。</w:t>
      </w:r>
    </w:p>
    <w:p>
      <w:pPr>
        <w:pStyle w:val="BodyText"/>
      </w:pPr>
      <w:r>
        <w:rPr>
          <w:rFonts w:ascii="Noto Sans CJK SC" w:hAnsi="Noto Sans CJK SC" w:eastAsia="Noto Sans CJK SC"/>
          <w:i w:val="0"/>
        </w:rPr>
        <w:t>这种架构既不为了展示 AI 而牺牲可信度，也不把 AI 限制为语言润色。其产品价值来自“静态报告无法提前穷举所有分析路径，而 Agent 可以根据本次事实按需调用已验证能力”；其工程可信度来自“Agent 只能规划，不能自创算法或越过规则裁决”。</w:t>
      </w:r>
    </w:p>
    <w:p>
      <w:pPr/>
      <w:r>
        <w:rPr>
          <w:rFonts w:ascii="Noto Sans CJK SC" w:hAnsi="Noto Sans CJK SC" w:eastAsia="Noto Sans CJK SC"/>
        </w:rPr>
        <w:br w:type="page"/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</w:rPr>
        <w:t>结语</w:t>
      </w:r>
    </w:p>
    <w:p>
      <w:pPr>
        <w:pStyle w:val="FirstParagraph"/>
      </w:pPr>
      <w:r>
        <w:rPr>
          <w:rFonts w:ascii="Noto Sans CJK SC" w:hAnsi="Noto Sans CJK SC" w:eastAsia="Noto Sans CJK SC"/>
          <w:i w:val="0"/>
        </w:rPr>
        <w:t>本方案的最终目标不是证明大模型能够替代运动科学、统计方法或确定性软件，而是证明：在严格定义能力边界、工具接口、规则裁决和证据追溯之后，Agent 可以成为运动测试分析流程的有效组织者。它使系统从“生成一份固定报告”升级为“提供一个可持续追问、可验证重算、可追溯引用的分析环境”，同时保留正式报告最重要的准确性、稳定性和可审计性。</w:t>
      </w:r>
    </w:p>
    <w:sectPr>
      <w:footnotePr>
        <w:numRestart w:val="eachSect"/>
      </w:footnotePr>
      <w:pgSz w:w="11906" w:h="16838"/>
      <w:pgMar w:top="1304" w:bottom="1304" w:left="1389" w:right="1389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Noto Sans CJK SC" w:hAnsi="Noto Sans CJK SC" w:eastAsia="Noto Sans CJK SC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ans CJK SC" w:hAnsi="Noto Sans CJK SC" w:eastAsia="Noto Sans CJK SC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color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color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Noto Sans CJK SC" w:hAnsi="Noto Sans CJK SC" w:eastAsia="Noto Sans CJK SC"/>
      <w:b/>
      <w:color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ans CJK SC" w:hAnsi="Noto Sans CJK SC" w:eastAsia="Noto Sans CJK SC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Mono CJK SC" w:hAnsi="Noto Sans Mono CJK SC" w:eastAsia="Noto Sans Mono CJK SC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36" Type="http://schemas.openxmlformats.org/officeDocument/2006/relationships/hyperlink" Target="https://aclanthology.org/D18-1422.pdf" TargetMode="External"/><Relationship Id="rId24" Type="http://schemas.openxmlformats.org/officeDocument/2006/relationships/hyperlink" Target="https://arxiv.org/html/2512.14121v2" TargetMode="External"/><Relationship Id="rId74" Type="http://schemas.openxmlformats.org/officeDocument/2006/relationships/hyperlink" Target="https://centre-borelli.github.io/ruptures-docs/" TargetMode="External"/><Relationship Id="rId75" Type="http://schemas.openxmlformats.org/officeDocument/2006/relationships/hyperlink" Target="https://doc.dvc.org/example-scenarios/versioning-data-and-models" TargetMode="External"/><Relationship Id="rId52" Type="http://schemas.openxmlformats.org/officeDocument/2006/relationships/hyperlink" Target="https://github.com/yzhao062/pyod" TargetMode="External"/><Relationship Id="rId23" Type="http://schemas.openxmlformats.org/officeDocument/2006/relationships/hyperlink" Target="https://journals.plos.org/ploscompbiol/article?id=10.1371%2Fjournal.pcbi.1011462" TargetMode="External"/><Relationship Id="rId33" Type="http://schemas.openxmlformats.org/officeDocument/2006/relationships/hyperlink" Target="https://learning.hawkindynamics.com/knowledge/how-can-i-create-reports" TargetMode="External"/><Relationship Id="rId37" Type="http://schemas.openxmlformats.org/officeDocument/2006/relationships/hyperlink" Target="https://link.springer.com/article/10.1007/s40279-023-01849-6" TargetMode="External"/><Relationship Id="rId66" Type="http://schemas.openxmlformats.org/officeDocument/2006/relationships/hyperlink" Target="https://mlflow.org/docs/latest/" TargetMode="External"/><Relationship Id="rId73" Type="http://schemas.openxmlformats.org/officeDocument/2006/relationships/hyperlink" Target="https://physionet.org/content/gaitpdb/" TargetMode="External"/><Relationship Id="rId71" Type="http://schemas.openxmlformats.org/officeDocument/2006/relationships/hyperlink" Target="https://pmc.ncbi.nlm.nih.gov/articles/PMC11948690/" TargetMode="External"/><Relationship Id="rId28" Type="http://schemas.openxmlformats.org/officeDocument/2006/relationships/hyperlink" Target="https://pubmed.ncbi.nlm.nih.gov/18348590/" TargetMode="External"/><Relationship Id="rId26" Type="http://schemas.openxmlformats.org/officeDocument/2006/relationships/hyperlink" Target="https://pubmed.ncbi.nlm.nih.gov/37160562/" TargetMode="External"/><Relationship Id="rId31" Type="http://schemas.openxmlformats.org/officeDocument/2006/relationships/hyperlink" Target="https://pubs.cstam.org.cn/article/doi/10.16156/j.1004-7220.2025.03.002" TargetMode="External"/><Relationship Id="rId70" Type="http://schemas.openxmlformats.org/officeDocument/2006/relationships/hyperlink" Target="https://simtk.org/projects/opensim" TargetMode="External"/><Relationship Id="rId29" Type="http://schemas.openxmlformats.org/officeDocument/2006/relationships/hyperlink" Target="https://sportsmedicine-open.springeropen.com/articles/10.1186/s40798-023-00564-w" TargetMode="External"/><Relationship Id="rId21" Type="http://schemas.openxmlformats.org/officeDocument/2006/relationships/hyperlink" Target="https://valdperformance.com/products/forcedecks" TargetMode="External"/><Relationship Id="rId27" Type="http://schemas.openxmlformats.org/officeDocument/2006/relationships/hyperlink" Target="https://www.cac.gov.cn/2021-08/20/c_1631050028355286.htm" TargetMode="External"/><Relationship Id="rId38" Type="http://schemas.openxmlformats.org/officeDocument/2006/relationships/hyperlink" Target="https://www.hawkindynamics.com/blog/asymmetry-report" TargetMode="External"/><Relationship Id="rId72" Type="http://schemas.openxmlformats.org/officeDocument/2006/relationships/hyperlink" Target="https://www.nature.com/articles/s41597-020-0481-z" TargetMode="External"/><Relationship Id="rId41" Type="http://schemas.openxmlformats.org/officeDocument/2006/relationships/hyperlink" Target="https://www.nature.com/articles/s41598-018-33694-3" TargetMode="External"/><Relationship Id="rId22" Type="http://schemas.openxmlformats.org/officeDocument/2006/relationships/hyperlink" Target="https://www.nature.com/articles/s41598-025-26169-9" TargetMode="External"/><Relationship Id="rId55" Type="http://schemas.openxmlformats.org/officeDocument/2006/relationships/hyperlink" Target="https://www.nist.gov/publications/artificial-intelligence-risk-management-framework-generative-artificial-intelligence" TargetMode="External"/><Relationship Id="rId32" Type="http://schemas.openxmlformats.org/officeDocument/2006/relationships/hyperlink" Target="https://www.optogait.com/Applications/March-in-Place" TargetMode="External"/><Relationship Id="rId35" Type="http://schemas.openxmlformats.org/officeDocument/2006/relationships/hyperlink" Target="https://www.qualisys.com/analysis/gait/" TargetMode="External"/><Relationship Id="rId34" Type="http://schemas.openxmlformats.org/officeDocument/2006/relationships/hyperlink" Target="https://www.vicon.com/software/polygon/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aclanthology.org/D18-1422.pdf" TargetMode="External"/><Relationship Id="rId24" Type="http://schemas.openxmlformats.org/officeDocument/2006/relationships/hyperlink" Target="https://arxiv.org/html/2512.14121v2" TargetMode="External"/><Relationship Id="rId74" Type="http://schemas.openxmlformats.org/officeDocument/2006/relationships/hyperlink" Target="https://centre-borelli.github.io/ruptures-docs/" TargetMode="External"/><Relationship Id="rId75" Type="http://schemas.openxmlformats.org/officeDocument/2006/relationships/hyperlink" Target="https://doc.dvc.org/example-scenarios/versioning-data-and-models" TargetMode="External"/><Relationship Id="rId52" Type="http://schemas.openxmlformats.org/officeDocument/2006/relationships/hyperlink" Target="https://github.com/yzhao062/pyod" TargetMode="External"/><Relationship Id="rId23" Type="http://schemas.openxmlformats.org/officeDocument/2006/relationships/hyperlink" Target="https://journals.plos.org/ploscompbiol/article?id=10.1371%2Fjournal.pcbi.1011462" TargetMode="External"/><Relationship Id="rId33" Type="http://schemas.openxmlformats.org/officeDocument/2006/relationships/hyperlink" Target="https://learning.hawkindynamics.com/knowledge/how-can-i-create-reports" TargetMode="External"/><Relationship Id="rId37" Type="http://schemas.openxmlformats.org/officeDocument/2006/relationships/hyperlink" Target="https://link.springer.com/article/10.1007/s40279-023-01849-6" TargetMode="External"/><Relationship Id="rId66" Type="http://schemas.openxmlformats.org/officeDocument/2006/relationships/hyperlink" Target="https://mlflow.org/docs/latest/" TargetMode="External"/><Relationship Id="rId73" Type="http://schemas.openxmlformats.org/officeDocument/2006/relationships/hyperlink" Target="https://physionet.org/content/gaitpdb/" TargetMode="External"/><Relationship Id="rId71" Type="http://schemas.openxmlformats.org/officeDocument/2006/relationships/hyperlink" Target="https://pmc.ncbi.nlm.nih.gov/articles/PMC11948690/" TargetMode="External"/><Relationship Id="rId28" Type="http://schemas.openxmlformats.org/officeDocument/2006/relationships/hyperlink" Target="https://pubmed.ncbi.nlm.nih.gov/18348590/" TargetMode="External"/><Relationship Id="rId26" Type="http://schemas.openxmlformats.org/officeDocument/2006/relationships/hyperlink" Target="https://pubmed.ncbi.nlm.nih.gov/37160562/" TargetMode="External"/><Relationship Id="rId31" Type="http://schemas.openxmlformats.org/officeDocument/2006/relationships/hyperlink" Target="https://pubs.cstam.org.cn/article/doi/10.16156/j.1004-7220.2025.03.002" TargetMode="External"/><Relationship Id="rId70" Type="http://schemas.openxmlformats.org/officeDocument/2006/relationships/hyperlink" Target="https://simtk.org/projects/opensim" TargetMode="External"/><Relationship Id="rId29" Type="http://schemas.openxmlformats.org/officeDocument/2006/relationships/hyperlink" Target="https://sportsmedicine-open.springeropen.com/articles/10.1186/s40798-023-00564-w" TargetMode="External"/><Relationship Id="rId21" Type="http://schemas.openxmlformats.org/officeDocument/2006/relationships/hyperlink" Target="https://valdperformance.com/products/forcedecks" TargetMode="External"/><Relationship Id="rId27" Type="http://schemas.openxmlformats.org/officeDocument/2006/relationships/hyperlink" Target="https://www.cac.gov.cn/2021-08/20/c_1631050028355286.htm" TargetMode="External"/><Relationship Id="rId38" Type="http://schemas.openxmlformats.org/officeDocument/2006/relationships/hyperlink" Target="https://www.hawkindynamics.com/blog/asymmetry-report" TargetMode="External"/><Relationship Id="rId72" Type="http://schemas.openxmlformats.org/officeDocument/2006/relationships/hyperlink" Target="https://www.nature.com/articles/s41597-020-0481-z" TargetMode="External"/><Relationship Id="rId41" Type="http://schemas.openxmlformats.org/officeDocument/2006/relationships/hyperlink" Target="https://www.nature.com/articles/s41598-018-33694-3" TargetMode="External"/><Relationship Id="rId22" Type="http://schemas.openxmlformats.org/officeDocument/2006/relationships/hyperlink" Target="https://www.nature.com/articles/s41598-025-26169-9" TargetMode="External"/><Relationship Id="rId55" Type="http://schemas.openxmlformats.org/officeDocument/2006/relationships/hyperlink" Target="https://www.nist.gov/publications/artificial-intelligence-risk-management-framework-generative-artificial-intelligence" TargetMode="External"/><Relationship Id="rId32" Type="http://schemas.openxmlformats.org/officeDocument/2006/relationships/hyperlink" Target="https://www.optogait.com/Applications/March-in-Place" TargetMode="External"/><Relationship Id="rId35" Type="http://schemas.openxmlformats.org/officeDocument/2006/relationships/hyperlink" Target="https://www.qualisys.com/analysis/gait/" TargetMode="External"/><Relationship Id="rId34" Type="http://schemas.openxmlformats.org/officeDocument/2006/relationships/hyperlink" Target="https://www.vicon.com/software/polyg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面向运动测试的 Agent 编排式可信分析与报告系统：最终方案与论文素材</dc:title>
  <dc:creator>VAE</dc:creator>
  <dc:language>zh</dc:language>
  <cp:keywords>运动测试, Agent, 可信AI, RAG, Tool, Skill, 纵跳, 步态, 跑步</cp:keywords>
  <dcterms:created xsi:type="dcterms:W3CDTF">1970-01-01T00:00:00Z</dcterms:created>
  <dcterms:modified xsi:type="dcterms:W3CDTF">1970-01-01T00:00:00Z</dcterms:modified>
  <dc:subject>运动测试系统、可信AI、Agent编排、确定性分析、RAG、分析会话</dc:subject>
  <dc:description>基于附件技术边界文档与需求对齐讨论形成的完整版。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