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color="auto" w:space="3" w:sz="0" w:val="none"/>
          <w:left w:color="auto" w:space="0" w:sz="0" w:val="none"/>
          <w:bottom w:color="auto" w:space="0" w:sz="0" w:val="none"/>
          <w:right w:color="auto" w:space="0" w:sz="0" w:val="none"/>
        </w:pBdr>
        <w:spacing w:after="0" w:before="0" w:lineRule="auto"/>
        <w:rPr>
          <w:rFonts w:ascii="Roboto" w:cs="Roboto" w:eastAsia="Roboto" w:hAnsi="Roboto"/>
          <w:color w:val="172b4d"/>
          <w:sz w:val="39"/>
          <w:szCs w:val="39"/>
        </w:rPr>
      </w:pPr>
      <w:bookmarkStart w:colFirst="0" w:colLast="0" w:name="_ymxpcryoxv68" w:id="0"/>
      <w:bookmarkEnd w:id="0"/>
      <w:r w:rsidDel="00000000" w:rsidR="00000000" w:rsidRPr="00000000">
        <w:rPr>
          <w:rFonts w:ascii="Roboto" w:cs="Roboto" w:eastAsia="Roboto" w:hAnsi="Roboto"/>
          <w:color w:val="172b4d"/>
          <w:sz w:val="39"/>
          <w:szCs w:val="39"/>
        </w:rPr>
        <w:drawing>
          <wp:inline distB="114300" distT="114300" distL="114300" distR="114300">
            <wp:extent cx="254000" cy="254000"/>
            <wp:effectExtent b="0" l="0" r="0" t="0"/>
            <wp:docPr descr=":alarm_clock:" id="4" name="image1.png"/>
            <a:graphic>
              <a:graphicData uri="http://schemas.openxmlformats.org/drawingml/2006/picture">
                <pic:pic>
                  <pic:nvPicPr>
                    <pic:cNvPr descr=":alarm_clock:" id="0" name="image1.png"/>
                    <pic:cNvPicPr preferRelativeResize="0"/>
                  </pic:nvPicPr>
                  <pic:blipFill>
                    <a:blip r:embed="rId6"/>
                    <a:srcRect b="0" l="0" r="0" t="0"/>
                    <a:stretch>
                      <a:fillRect/>
                    </a:stretch>
                  </pic:blipFill>
                  <pic:spPr>
                    <a:xfrm>
                      <a:off x="0" y="0"/>
                      <a:ext cx="254000" cy="254000"/>
                    </a:xfrm>
                    <a:prstGeom prst="rect"/>
                    <a:ln/>
                  </pic:spPr>
                </pic:pic>
              </a:graphicData>
            </a:graphic>
          </wp:inline>
        </w:drawing>
      </w:r>
      <w:r w:rsidDel="00000000" w:rsidR="00000000" w:rsidRPr="00000000">
        <w:rPr>
          <w:rFonts w:ascii="Roboto" w:cs="Roboto" w:eastAsia="Roboto" w:hAnsi="Roboto"/>
          <w:color w:val="172b4d"/>
          <w:sz w:val="39"/>
          <w:szCs w:val="39"/>
          <w:rtl w:val="0"/>
        </w:rPr>
        <w:t xml:space="preserve"> Minuta 20/11/2024</w:t>
      </w:r>
    </w:p>
    <w:p w:rsidR="00000000" w:rsidDel="00000000" w:rsidP="00000000" w:rsidRDefault="00000000" w:rsidRPr="00000000" w14:paraId="00000002">
      <w:pPr>
        <w:rPr/>
      </w:pPr>
      <w:r w:rsidDel="00000000" w:rsidR="00000000" w:rsidRPr="00000000">
        <w:rPr>
          <w:rtl w:val="0"/>
        </w:rPr>
        <w:t xml:space="preserve">Duración Aproximada: 60 minutos.</w:t>
      </w:r>
    </w:p>
    <w:p w:rsidR="00000000" w:rsidDel="00000000" w:rsidP="00000000" w:rsidRDefault="00000000" w:rsidRPr="00000000" w14:paraId="00000003">
      <w:pPr>
        <w:ind w:firstLine="720"/>
        <w:rPr>
          <w:rFonts w:ascii="Roboto" w:cs="Roboto" w:eastAsia="Roboto" w:hAnsi="Roboto"/>
          <w:color w:val="172b4d"/>
        </w:rPr>
      </w:pPr>
      <w:r w:rsidDel="00000000" w:rsidR="00000000" w:rsidRPr="00000000">
        <w:rPr>
          <w:rtl w:val="0"/>
        </w:rPr>
      </w:r>
    </w:p>
    <w:p w:rsidR="00000000" w:rsidDel="00000000" w:rsidP="00000000" w:rsidRDefault="00000000" w:rsidRPr="00000000" w14:paraId="00000004">
      <w:pPr>
        <w:pStyle w:val="Heading2"/>
        <w:pBdr>
          <w:top w:color="auto" w:space="3" w:sz="0" w:val="none"/>
          <w:left w:color="auto" w:space="0" w:sz="0" w:val="none"/>
          <w:bottom w:color="auto" w:space="0" w:sz="0" w:val="none"/>
          <w:right w:color="auto" w:space="0" w:sz="0" w:val="none"/>
        </w:pBdr>
        <w:spacing w:after="0" w:before="0" w:lineRule="auto"/>
        <w:rPr>
          <w:rFonts w:ascii="Roboto" w:cs="Roboto" w:eastAsia="Roboto" w:hAnsi="Roboto"/>
          <w:color w:val="172b4d"/>
          <w:sz w:val="31"/>
          <w:szCs w:val="31"/>
        </w:rPr>
      </w:pPr>
      <w:bookmarkStart w:colFirst="0" w:colLast="0" w:name="_2afcunjgq6je" w:id="1"/>
      <w:bookmarkEnd w:id="1"/>
      <w:r w:rsidDel="00000000" w:rsidR="00000000" w:rsidRPr="00000000">
        <w:rPr>
          <w:rFonts w:ascii="Roboto" w:cs="Roboto" w:eastAsia="Roboto" w:hAnsi="Roboto"/>
          <w:color w:val="172b4d"/>
          <w:sz w:val="31"/>
          <w:szCs w:val="31"/>
        </w:rPr>
        <w:drawing>
          <wp:inline distB="114300" distT="114300" distL="114300" distR="114300">
            <wp:extent cx="190500" cy="190500"/>
            <wp:effectExtent b="0" l="0" r="0" t="0"/>
            <wp:docPr descr=":busts_in_silhouette:" id="1" name="image3.png"/>
            <a:graphic>
              <a:graphicData uri="http://schemas.openxmlformats.org/drawingml/2006/picture">
                <pic:pic>
                  <pic:nvPicPr>
                    <pic:cNvPr descr=":busts_in_silhouette:" id="0" name="image3.pn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Roboto" w:cs="Roboto" w:eastAsia="Roboto" w:hAnsi="Roboto"/>
          <w:color w:val="172b4d"/>
          <w:sz w:val="49"/>
          <w:szCs w:val="49"/>
          <w:rtl w:val="0"/>
        </w:rPr>
        <w:t xml:space="preserve"> </w:t>
      </w:r>
      <w:r w:rsidDel="00000000" w:rsidR="00000000" w:rsidRPr="00000000">
        <w:rPr>
          <w:rFonts w:ascii="Roboto" w:cs="Roboto" w:eastAsia="Roboto" w:hAnsi="Roboto"/>
          <w:color w:val="172b4d"/>
          <w:sz w:val="31"/>
          <w:szCs w:val="31"/>
          <w:rtl w:val="0"/>
        </w:rPr>
        <w:t xml:space="preserve">Participantes</w:t>
      </w:r>
    </w:p>
    <w:p w:rsidR="00000000" w:rsidDel="00000000" w:rsidP="00000000" w:rsidRDefault="00000000" w:rsidRPr="00000000" w14:paraId="00000005">
      <w:pPr>
        <w:widowControl w:val="0"/>
        <w:numPr>
          <w:ilvl w:val="0"/>
          <w:numId w:val="2"/>
        </w:numPr>
        <w:ind w:firstLine="720"/>
        <w:rPr>
          <w:rFonts w:ascii="Proxima Nova" w:cs="Proxima Nova" w:eastAsia="Proxima Nova" w:hAnsi="Proxima Nova"/>
          <w:color w:val="172b4d"/>
        </w:rPr>
      </w:pPr>
      <w:r w:rsidDel="00000000" w:rsidR="00000000" w:rsidRPr="00000000">
        <w:rPr>
          <w:rFonts w:ascii="Proxima Nova" w:cs="Proxima Nova" w:eastAsia="Proxima Nova" w:hAnsi="Proxima Nova"/>
          <w:color w:val="172b4d"/>
          <w:rtl w:val="0"/>
        </w:rPr>
        <w:t xml:space="preserve">Juan Estudiants (Graduado de UPP)</w:t>
      </w:r>
    </w:p>
    <w:p w:rsidR="00000000" w:rsidDel="00000000" w:rsidP="00000000" w:rsidRDefault="00000000" w:rsidRPr="00000000" w14:paraId="00000006">
      <w:pPr>
        <w:widowControl w:val="0"/>
        <w:numPr>
          <w:ilvl w:val="0"/>
          <w:numId w:val="2"/>
        </w:numPr>
        <w:ind w:firstLine="720"/>
        <w:rPr>
          <w:rFonts w:ascii="Proxima Nova" w:cs="Proxima Nova" w:eastAsia="Proxima Nova" w:hAnsi="Proxima Nova"/>
          <w:color w:val="172b4d"/>
          <w:u w:val="none"/>
        </w:rPr>
      </w:pPr>
      <w:r w:rsidDel="00000000" w:rsidR="00000000" w:rsidRPr="00000000">
        <w:rPr>
          <w:rFonts w:ascii="Proxima Nova" w:cs="Proxima Nova" w:eastAsia="Proxima Nova" w:hAnsi="Proxima Nova"/>
          <w:color w:val="172b4d"/>
          <w:rtl w:val="0"/>
        </w:rPr>
        <w:t xml:space="preserve">Humberto Solanas (Dirección de Administración y Cobranzas)</w:t>
      </w:r>
    </w:p>
    <w:p w:rsidR="00000000" w:rsidDel="00000000" w:rsidP="00000000" w:rsidRDefault="00000000" w:rsidRPr="00000000" w14:paraId="00000007">
      <w:pPr>
        <w:widowControl w:val="0"/>
        <w:numPr>
          <w:ilvl w:val="0"/>
          <w:numId w:val="2"/>
        </w:numPr>
        <w:ind w:firstLine="720"/>
        <w:rPr>
          <w:rFonts w:ascii="Proxima Nova" w:cs="Proxima Nova" w:eastAsia="Proxima Nova" w:hAnsi="Proxima Nova"/>
          <w:color w:val="172b4d"/>
        </w:rPr>
      </w:pPr>
      <w:r w:rsidDel="00000000" w:rsidR="00000000" w:rsidRPr="00000000">
        <w:rPr>
          <w:rFonts w:ascii="Proxima Nova" w:cs="Proxima Nova" w:eastAsia="Proxima Nova" w:hAnsi="Proxima Nova"/>
          <w:color w:val="172b4d"/>
          <w:rtl w:val="0"/>
        </w:rPr>
        <w:t xml:space="preserve">Nicolas Resnizky</w:t>
      </w:r>
    </w:p>
    <w:p w:rsidR="00000000" w:rsidDel="00000000" w:rsidP="00000000" w:rsidRDefault="00000000" w:rsidRPr="00000000" w14:paraId="00000008">
      <w:pPr>
        <w:widowControl w:val="0"/>
        <w:numPr>
          <w:ilvl w:val="0"/>
          <w:numId w:val="2"/>
        </w:numPr>
        <w:ind w:firstLine="720"/>
        <w:rPr>
          <w:rFonts w:ascii="Proxima Nova" w:cs="Proxima Nova" w:eastAsia="Proxima Nova" w:hAnsi="Proxima Nova"/>
          <w:color w:val="172b4d"/>
        </w:rPr>
      </w:pPr>
      <w:r w:rsidDel="00000000" w:rsidR="00000000" w:rsidRPr="00000000">
        <w:rPr>
          <w:rFonts w:ascii="Proxima Nova" w:cs="Proxima Nova" w:eastAsia="Proxima Nova" w:hAnsi="Proxima Nova"/>
          <w:color w:val="172b4d"/>
          <w:rtl w:val="0"/>
        </w:rPr>
        <w:t xml:space="preserve">Matias Levi Fernandez</w:t>
      </w:r>
    </w:p>
    <w:p w:rsidR="00000000" w:rsidDel="00000000" w:rsidP="00000000" w:rsidRDefault="00000000" w:rsidRPr="00000000" w14:paraId="00000009">
      <w:pPr>
        <w:ind w:firstLine="720"/>
        <w:rPr>
          <w:rFonts w:ascii="Proxima Nova" w:cs="Proxima Nova" w:eastAsia="Proxima Nova" w:hAnsi="Proxima Nova"/>
          <w:color w:val="172b4d"/>
        </w:rPr>
      </w:pPr>
      <w:r w:rsidDel="00000000" w:rsidR="00000000" w:rsidRPr="00000000">
        <w:rPr>
          <w:rtl w:val="0"/>
        </w:rPr>
      </w:r>
    </w:p>
    <w:p w:rsidR="00000000" w:rsidDel="00000000" w:rsidP="00000000" w:rsidRDefault="00000000" w:rsidRPr="00000000" w14:paraId="0000000A">
      <w:pPr>
        <w:pStyle w:val="Heading2"/>
        <w:pBdr>
          <w:top w:color="auto" w:space="3" w:sz="0" w:val="none"/>
          <w:left w:color="auto" w:space="0" w:sz="0" w:val="none"/>
          <w:bottom w:color="auto" w:space="0" w:sz="0" w:val="none"/>
          <w:right w:color="auto" w:space="0" w:sz="0" w:val="none"/>
        </w:pBdr>
        <w:spacing w:after="0" w:before="0" w:lineRule="auto"/>
        <w:rPr>
          <w:rFonts w:ascii="Roboto" w:cs="Roboto" w:eastAsia="Roboto" w:hAnsi="Roboto"/>
          <w:color w:val="172b4d"/>
          <w:sz w:val="31"/>
          <w:szCs w:val="31"/>
        </w:rPr>
      </w:pPr>
      <w:bookmarkStart w:colFirst="0" w:colLast="0" w:name="_607j30w1w0pr" w:id="2"/>
      <w:bookmarkEnd w:id="2"/>
      <w:r w:rsidDel="00000000" w:rsidR="00000000" w:rsidRPr="00000000">
        <w:rPr>
          <w:rFonts w:ascii="Roboto" w:cs="Roboto" w:eastAsia="Roboto" w:hAnsi="Roboto"/>
          <w:color w:val="172b4d"/>
          <w:sz w:val="31"/>
          <w:szCs w:val="31"/>
        </w:rPr>
        <w:drawing>
          <wp:inline distB="114300" distT="114300" distL="114300" distR="114300">
            <wp:extent cx="190500" cy="190500"/>
            <wp:effectExtent b="0" l="0" r="0" t="0"/>
            <wp:docPr descr=":speaking_head:" id="3" name="image2.png"/>
            <a:graphic>
              <a:graphicData uri="http://schemas.openxmlformats.org/drawingml/2006/picture">
                <pic:pic>
                  <pic:nvPicPr>
                    <pic:cNvPr descr=":speaking_head:" id="0" name="image2.png"/>
                    <pic:cNvPicPr preferRelativeResize="0"/>
                  </pic:nvPicPr>
                  <pic:blipFill>
                    <a:blip r:embed="rId8"/>
                    <a:srcRect b="0" l="0" r="0" t="0"/>
                    <a:stretch>
                      <a:fillRect/>
                    </a:stretch>
                  </pic:blipFill>
                  <pic:spPr>
                    <a:xfrm>
                      <a:off x="0" y="0"/>
                      <a:ext cx="190500" cy="190500"/>
                    </a:xfrm>
                    <a:prstGeom prst="rect"/>
                    <a:ln/>
                  </pic:spPr>
                </pic:pic>
              </a:graphicData>
            </a:graphic>
          </wp:inline>
        </w:drawing>
      </w:r>
      <w:r w:rsidDel="00000000" w:rsidR="00000000" w:rsidRPr="00000000">
        <w:rPr>
          <w:rFonts w:ascii="Roboto" w:cs="Roboto" w:eastAsia="Roboto" w:hAnsi="Roboto"/>
          <w:color w:val="172b4d"/>
          <w:sz w:val="31"/>
          <w:szCs w:val="31"/>
          <w:rtl w:val="0"/>
        </w:rPr>
        <w:t xml:space="preserve"> Temas Tratados</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numPr>
          <w:ilvl w:val="0"/>
          <w:numId w:val="1"/>
        </w:numPr>
        <w:ind w:left="1440" w:hanging="360"/>
        <w:rPr>
          <w:u w:val="none"/>
        </w:rPr>
      </w:pPr>
      <w:r w:rsidDel="00000000" w:rsidR="00000000" w:rsidRPr="00000000">
        <w:rPr>
          <w:rtl w:val="0"/>
        </w:rPr>
        <w:t xml:space="preserve">Paso a paso de cómo los alumnos pagan las cuotas y cómo lo administran desde la universidad</w:t>
      </w:r>
    </w:p>
    <w:p w:rsidR="00000000" w:rsidDel="00000000" w:rsidP="00000000" w:rsidRDefault="00000000" w:rsidRPr="00000000" w14:paraId="0000000D">
      <w:pPr>
        <w:pStyle w:val="Heading2"/>
        <w:pBdr>
          <w:top w:color="auto" w:space="3" w:sz="0" w:val="none"/>
          <w:left w:color="auto" w:space="0" w:sz="0" w:val="none"/>
          <w:bottom w:color="auto" w:space="0" w:sz="0" w:val="none"/>
          <w:right w:color="auto" w:space="0" w:sz="0" w:val="none"/>
        </w:pBdr>
        <w:spacing w:after="0" w:before="0" w:lineRule="auto"/>
        <w:rPr>
          <w:rFonts w:ascii="Roboto" w:cs="Roboto" w:eastAsia="Roboto" w:hAnsi="Roboto"/>
          <w:color w:val="172b4d"/>
          <w:sz w:val="31"/>
          <w:szCs w:val="31"/>
        </w:rPr>
      </w:pPr>
      <w:bookmarkStart w:colFirst="0" w:colLast="0" w:name="_pnfwqas54jwg" w:id="3"/>
      <w:bookmarkEnd w:id="3"/>
      <w:r w:rsidDel="00000000" w:rsidR="00000000" w:rsidRPr="00000000">
        <w:rPr>
          <w:rFonts w:ascii="Roboto" w:cs="Roboto" w:eastAsia="Roboto" w:hAnsi="Roboto"/>
          <w:color w:val="172b4d"/>
          <w:sz w:val="31"/>
          <w:szCs w:val="31"/>
        </w:rPr>
        <w:drawing>
          <wp:inline distB="114300" distT="114300" distL="114300" distR="114300">
            <wp:extent cx="190500" cy="190500"/>
            <wp:effectExtent b="0" l="0" r="0" t="0"/>
            <wp:docPr descr=":speaking_head:" id="2" name="image2.png"/>
            <a:graphic>
              <a:graphicData uri="http://schemas.openxmlformats.org/drawingml/2006/picture">
                <pic:pic>
                  <pic:nvPicPr>
                    <pic:cNvPr descr=":speaking_head:" id="0" name="image2.png"/>
                    <pic:cNvPicPr preferRelativeResize="0"/>
                  </pic:nvPicPr>
                  <pic:blipFill>
                    <a:blip r:embed="rId8"/>
                    <a:srcRect b="0" l="0" r="0" t="0"/>
                    <a:stretch>
                      <a:fillRect/>
                    </a:stretch>
                  </pic:blipFill>
                  <pic:spPr>
                    <a:xfrm>
                      <a:off x="0" y="0"/>
                      <a:ext cx="190500" cy="190500"/>
                    </a:xfrm>
                    <a:prstGeom prst="rect"/>
                    <a:ln/>
                  </pic:spPr>
                </pic:pic>
              </a:graphicData>
            </a:graphic>
          </wp:inline>
        </w:drawing>
      </w:r>
      <w:r w:rsidDel="00000000" w:rsidR="00000000" w:rsidRPr="00000000">
        <w:rPr>
          <w:rFonts w:ascii="Roboto" w:cs="Roboto" w:eastAsia="Roboto" w:hAnsi="Roboto"/>
          <w:color w:val="172b4d"/>
          <w:sz w:val="31"/>
          <w:szCs w:val="31"/>
          <w:rtl w:val="0"/>
        </w:rPr>
        <w:t xml:space="preserve"> Resumen de la discusión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Primero el responsable de Administración y Cobranzas define los aranceles de las cuotas para todas las carreras. Quince días antes de la fecha de vencimiento de la cuota, desde Administración y Cobranzas se emite una factura para cada alumno.  </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Un alumno puede consultar todas las facturas de las cuotas de su carrera. Si tiene una factura impaga la puede pagar mediante la billetera digital Tangerine. Una vez recibido el pago, desde Administración y Cobranzas se marca la factura como pagada. Si la cuota se paga fuera de término, la próxima factura tendrá un recargo del 5%.</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ab/>
      </w:r>
    </w:p>
    <w:p w:rsidR="00000000" w:rsidDel="00000000" w:rsidP="00000000" w:rsidRDefault="00000000" w:rsidRPr="00000000" w14:paraId="00000015">
      <w:pPr>
        <w:pStyle w:val="Heading2"/>
        <w:pBdr>
          <w:top w:color="auto" w:space="3" w:sz="0" w:val="none"/>
          <w:left w:color="auto" w:space="0" w:sz="0" w:val="none"/>
          <w:bottom w:color="auto" w:space="0" w:sz="0" w:val="none"/>
          <w:right w:color="auto" w:space="0" w:sz="0" w:val="none"/>
        </w:pBdr>
        <w:spacing w:after="0" w:before="0" w:lineRule="auto"/>
        <w:rPr>
          <w:rFonts w:ascii="Roboto" w:cs="Roboto" w:eastAsia="Roboto" w:hAnsi="Roboto"/>
          <w:color w:val="172b4d"/>
          <w:sz w:val="31"/>
          <w:szCs w:val="31"/>
        </w:rPr>
      </w:pPr>
      <w:bookmarkStart w:colFirst="0" w:colLast="0" w:name="_68tjx4i393ff" w:id="4"/>
      <w:bookmarkEnd w:id="4"/>
      <w:r w:rsidDel="00000000" w:rsidR="00000000" w:rsidRPr="00000000">
        <w:rPr>
          <w:rtl w:val="0"/>
        </w:rPr>
      </w:r>
    </w:p>
    <w:p w:rsidR="00000000" w:rsidDel="00000000" w:rsidP="00000000" w:rsidRDefault="00000000" w:rsidRPr="00000000" w14:paraId="00000016">
      <w:pPr>
        <w:rPr>
          <w:color w:val="172b4d"/>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roximaNova-regular.ttf"/><Relationship Id="rId6" Type="http://schemas.openxmlformats.org/officeDocument/2006/relationships/font" Target="fonts/ProximaNova-bold.ttf"/><Relationship Id="rId7" Type="http://schemas.openxmlformats.org/officeDocument/2006/relationships/font" Target="fonts/ProximaNova-italic.ttf"/><Relationship Id="rId8"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