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color="auto" w:space="3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0" w:before="0" w:lineRule="auto"/>
        <w:jc w:val="left"/>
        <w:rPr>
          <w:rFonts w:ascii="Roboto" w:cs="Roboto" w:eastAsia="Roboto" w:hAnsi="Roboto"/>
          <w:color w:val="172b4d"/>
          <w:sz w:val="39"/>
          <w:szCs w:val="39"/>
        </w:rPr>
      </w:pPr>
      <w:bookmarkStart w:colFirst="0" w:colLast="0" w:name="_ymxpcryoxv68" w:id="0"/>
      <w:bookmarkEnd w:id="0"/>
      <w:r w:rsidDel="00000000" w:rsidR="00000000" w:rsidRPr="00000000">
        <w:rPr>
          <w:rFonts w:ascii="Roboto" w:cs="Roboto" w:eastAsia="Roboto" w:hAnsi="Roboto"/>
          <w:color w:val="172b4d"/>
          <w:sz w:val="39"/>
          <w:szCs w:val="39"/>
        </w:rPr>
        <w:drawing>
          <wp:inline distB="114300" distT="114300" distL="114300" distR="114300">
            <wp:extent cx="254000" cy="254000"/>
            <wp:effectExtent b="0" l="0" r="0" t="0"/>
            <wp:docPr descr=":alarm_clock:" id="4" name="image3.png"/>
            <a:graphic>
              <a:graphicData uri="http://schemas.openxmlformats.org/drawingml/2006/picture">
                <pic:pic>
                  <pic:nvPicPr>
                    <pic:cNvPr descr=":alarm_clock: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172b4d"/>
          <w:sz w:val="39"/>
          <w:szCs w:val="39"/>
          <w:rtl w:val="0"/>
        </w:rPr>
        <w:t xml:space="preserve"> Minuta 29/07/2025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Duración Aproximada: 60 minutos.</w:t>
      </w:r>
    </w:p>
    <w:p w:rsidR="00000000" w:rsidDel="00000000" w:rsidP="00000000" w:rsidRDefault="00000000" w:rsidRPr="00000000" w14:paraId="00000003">
      <w:pPr>
        <w:ind w:firstLine="720"/>
        <w:jc w:val="left"/>
        <w:rPr>
          <w:rFonts w:ascii="Roboto" w:cs="Roboto" w:eastAsia="Roboto" w:hAnsi="Roboto"/>
          <w:color w:val="172b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Bdr>
          <w:top w:color="auto" w:space="3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0" w:before="0" w:lineRule="auto"/>
        <w:jc w:val="left"/>
        <w:rPr>
          <w:rFonts w:ascii="Proxima Nova" w:cs="Proxima Nova" w:eastAsia="Proxima Nova" w:hAnsi="Proxima Nova"/>
          <w:color w:val="172b4d"/>
        </w:rPr>
      </w:pPr>
      <w:bookmarkStart w:colFirst="0" w:colLast="0" w:name="_2afcunjgq6je" w:id="1"/>
      <w:bookmarkEnd w:id="1"/>
      <w:r w:rsidDel="00000000" w:rsidR="00000000" w:rsidRPr="00000000">
        <w:rPr>
          <w:rFonts w:ascii="Roboto" w:cs="Roboto" w:eastAsia="Roboto" w:hAnsi="Roboto"/>
          <w:color w:val="172b4d"/>
          <w:sz w:val="31"/>
          <w:szCs w:val="31"/>
        </w:rPr>
        <w:drawing>
          <wp:inline distB="114300" distT="114300" distL="114300" distR="114300">
            <wp:extent cx="190500" cy="190500"/>
            <wp:effectExtent b="0" l="0" r="0" t="0"/>
            <wp:docPr descr=":busts_in_silhouette:" id="2" name="image1.png"/>
            <a:graphic>
              <a:graphicData uri="http://schemas.openxmlformats.org/drawingml/2006/picture">
                <pic:pic>
                  <pic:nvPicPr>
                    <pic:cNvPr descr=":busts_in_silhouette: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172b4d"/>
          <w:sz w:val="49"/>
          <w:szCs w:val="4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72b4d"/>
          <w:sz w:val="31"/>
          <w:szCs w:val="31"/>
          <w:rtl w:val="0"/>
        </w:rPr>
        <w:t xml:space="preserve">Participantes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ind w:left="720" w:firstLine="0"/>
        <w:jc w:val="left"/>
        <w:rPr>
          <w:rFonts w:ascii="Proxima Nova" w:cs="Proxima Nova" w:eastAsia="Proxima Nova" w:hAnsi="Proxima Nova"/>
          <w:color w:val="172b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ind w:firstLine="720"/>
        <w:jc w:val="left"/>
        <w:rPr>
          <w:rFonts w:ascii="Proxima Nova" w:cs="Proxima Nova" w:eastAsia="Proxima Nova" w:hAnsi="Proxima Nova"/>
          <w:color w:val="172b4d"/>
        </w:rPr>
      </w:pPr>
      <w:r w:rsidDel="00000000" w:rsidR="00000000" w:rsidRPr="00000000">
        <w:rPr>
          <w:rFonts w:ascii="Proxima Nova" w:cs="Proxima Nova" w:eastAsia="Proxima Nova" w:hAnsi="Proxima Nova"/>
          <w:color w:val="172b4d"/>
          <w:rtl w:val="0"/>
        </w:rPr>
        <w:t xml:space="preserve">Nicolas Resnizky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ind w:firstLine="720"/>
        <w:jc w:val="left"/>
        <w:rPr>
          <w:rFonts w:ascii="Proxima Nova" w:cs="Proxima Nova" w:eastAsia="Proxima Nova" w:hAnsi="Proxima Nova"/>
          <w:color w:val="172b4d"/>
        </w:rPr>
      </w:pPr>
      <w:r w:rsidDel="00000000" w:rsidR="00000000" w:rsidRPr="00000000">
        <w:rPr>
          <w:rFonts w:ascii="Proxima Nova" w:cs="Proxima Nova" w:eastAsia="Proxima Nova" w:hAnsi="Proxima Nova"/>
          <w:color w:val="172b4d"/>
          <w:rtl w:val="0"/>
        </w:rPr>
        <w:t xml:space="preserve">Matias Levi Fernandez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ind w:firstLine="720"/>
        <w:jc w:val="left"/>
        <w:rPr>
          <w:rFonts w:ascii="Proxima Nova" w:cs="Proxima Nova" w:eastAsia="Proxima Nova" w:hAnsi="Proxima Nova"/>
          <w:color w:val="172b4d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172b4d"/>
          <w:rtl w:val="0"/>
        </w:rPr>
        <w:t xml:space="preserve">Susana Beláustegui (Dirección de Gestión Académica)</w:t>
      </w:r>
    </w:p>
    <w:p w:rsidR="00000000" w:rsidDel="00000000" w:rsidP="00000000" w:rsidRDefault="00000000" w:rsidRPr="00000000" w14:paraId="00000009">
      <w:pPr>
        <w:ind w:firstLine="720"/>
        <w:jc w:val="left"/>
        <w:rPr>
          <w:rFonts w:ascii="Proxima Nova" w:cs="Proxima Nova" w:eastAsia="Proxima Nova" w:hAnsi="Proxima Nova"/>
          <w:color w:val="172b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Bdr>
          <w:top w:color="auto" w:space="3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0" w:before="0" w:lineRule="auto"/>
        <w:jc w:val="left"/>
        <w:rPr>
          <w:rFonts w:ascii="Roboto" w:cs="Roboto" w:eastAsia="Roboto" w:hAnsi="Roboto"/>
          <w:color w:val="172b4d"/>
          <w:sz w:val="31"/>
          <w:szCs w:val="31"/>
        </w:rPr>
      </w:pPr>
      <w:bookmarkStart w:colFirst="0" w:colLast="0" w:name="_607j30w1w0pr" w:id="2"/>
      <w:bookmarkEnd w:id="2"/>
      <w:r w:rsidDel="00000000" w:rsidR="00000000" w:rsidRPr="00000000">
        <w:rPr>
          <w:rFonts w:ascii="Roboto" w:cs="Roboto" w:eastAsia="Roboto" w:hAnsi="Roboto"/>
          <w:color w:val="172b4d"/>
          <w:sz w:val="31"/>
          <w:szCs w:val="31"/>
        </w:rPr>
        <w:drawing>
          <wp:inline distB="114300" distT="114300" distL="114300" distR="114300">
            <wp:extent cx="190500" cy="190500"/>
            <wp:effectExtent b="0" l="0" r="0" t="0"/>
            <wp:docPr descr=":speaking_head:" id="1" name="image2.png"/>
            <a:graphic>
              <a:graphicData uri="http://schemas.openxmlformats.org/drawingml/2006/picture">
                <pic:pic>
                  <pic:nvPicPr>
                    <pic:cNvPr descr=":speaking_head: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172b4d"/>
          <w:sz w:val="31"/>
          <w:szCs w:val="31"/>
          <w:rtl w:val="0"/>
        </w:rPr>
        <w:t xml:space="preserve"> Temas Tratados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jc w:val="left"/>
      </w:pPr>
      <w:r w:rsidDel="00000000" w:rsidR="00000000" w:rsidRPr="00000000">
        <w:rPr>
          <w:rtl w:val="0"/>
        </w:rPr>
        <w:t xml:space="preserve">Revisión del desarrollo realizado para los módulos de Gestión Académica.</w:t>
      </w:r>
    </w:p>
    <w:p w:rsidR="00000000" w:rsidDel="00000000" w:rsidP="00000000" w:rsidRDefault="00000000" w:rsidRPr="00000000" w14:paraId="0000000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Bdr>
          <w:top w:color="auto" w:space="3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0" w:before="0" w:lineRule="auto"/>
        <w:jc w:val="left"/>
        <w:rPr>
          <w:rFonts w:ascii="Roboto" w:cs="Roboto" w:eastAsia="Roboto" w:hAnsi="Roboto"/>
          <w:color w:val="172b4d"/>
          <w:sz w:val="31"/>
          <w:szCs w:val="31"/>
        </w:rPr>
      </w:pPr>
      <w:bookmarkStart w:colFirst="0" w:colLast="0" w:name="_pnfwqas54jwg" w:id="3"/>
      <w:bookmarkEnd w:id="3"/>
      <w:r w:rsidDel="00000000" w:rsidR="00000000" w:rsidRPr="00000000">
        <w:rPr>
          <w:rFonts w:ascii="Roboto" w:cs="Roboto" w:eastAsia="Roboto" w:hAnsi="Roboto"/>
          <w:color w:val="172b4d"/>
          <w:sz w:val="31"/>
          <w:szCs w:val="31"/>
        </w:rPr>
        <w:drawing>
          <wp:inline distB="114300" distT="114300" distL="114300" distR="114300">
            <wp:extent cx="190500" cy="190500"/>
            <wp:effectExtent b="0" l="0" r="0" t="0"/>
            <wp:docPr descr=":speaking_head:" id="3" name="image2.png"/>
            <a:graphic>
              <a:graphicData uri="http://schemas.openxmlformats.org/drawingml/2006/picture">
                <pic:pic>
                  <pic:nvPicPr>
                    <pic:cNvPr descr=":speaking_head: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172b4d"/>
          <w:sz w:val="31"/>
          <w:szCs w:val="31"/>
          <w:rtl w:val="0"/>
        </w:rPr>
        <w:t xml:space="preserve"> Resumen de la discusión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 revisaron los siguientes módulos de Gestión Académica: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planes de estudio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materias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 observó que es necesario que la materia tenga como atributo el cuatrimestre que le corresponde dentro del orden del plan de estudios. Se agregará esta modificación en el sistema.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left"/>
    </w:pPr>
    <w:rPr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jc w:val="both"/>
    </w:pPr>
    <w:rPr>
      <w:b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ProximaNova-regular.ttf"/><Relationship Id="rId6" Type="http://schemas.openxmlformats.org/officeDocument/2006/relationships/font" Target="fonts/ProximaNova-bold.ttf"/><Relationship Id="rId7" Type="http://schemas.openxmlformats.org/officeDocument/2006/relationships/font" Target="fonts/ProximaNova-italic.ttf"/><Relationship Id="rId8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