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Roteiro de Atividade - Aula Prática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Na aula prática de hoje iremos análisar o efeito da migração entre populações evoluindo sob deriva genética, o efeito da seleção em populações infinitas e o efeito da interação entre seleção e deriva.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Migração e Deriva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Na aula prática anterior observamos o efeito da deriva genética sobre as frequências alélicas de populações completamente isoladas. No entanto, frequentemente, o isolamento entre populações naturais não é completo. A existência de fluxo gênico entre populações afeta a trajetória das frequência alélicas. A transferência de alelos entre populações pode ocorrer pela troca de migrantes que contribuem com descendentes para a próxima geração.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Usaremos o software Populus para avaliar o efeito da migração sobre populações sofrendo deriva genética.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1. Inicie o programa Populus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2. Acesse “Model” → “Mendelian Genetics” → “Population Structure”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3. Note que o programa requer a entrada de cinco parâmetros: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Deme Size (N) - Tamanho do Deme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Migration Rate - Taxa de Migração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Iteration Interval - Intervalo de Iteração (equivalente a geraç</w:t>
      </w:r>
      <w:r w:rsidDel="00000000" w:rsidR="00000000" w:rsidRPr="00000000">
        <w:rPr>
          <w:rtl w:val="0"/>
        </w:rPr>
        <w:t xml:space="preserve">ões)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Number of Demes - Número de demes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firstLine="200"/>
        <w:rPr/>
      </w:pPr>
      <w:r w:rsidDel="00000000" w:rsidR="00000000" w:rsidRPr="00000000">
        <w:rPr>
          <w:vertAlign w:val="baseline"/>
          <w:rtl w:val="0"/>
        </w:rPr>
        <w:t xml:space="preserve">Initial Frequency - Frequência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Tamanho do deme:</w:t>
      </w:r>
      <w:r w:rsidDel="00000000" w:rsidR="00000000" w:rsidRPr="00000000">
        <w:rPr>
          <w:vertAlign w:val="baseline"/>
          <w:rtl w:val="0"/>
        </w:rPr>
        <w:t xml:space="preserve"> os demes podem ser vistos como as populações. Pensando nas populações que simulamos na aula anterior com feijões, cada copinho seria um deme, portanto utilizaremos o termo população para nos referirmos aos demes. Esse primeiro parâmetro define o número de indivíduos em cada uma das populações que iremos simular.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Taxa de migração</w:t>
      </w:r>
      <w:r w:rsidDel="00000000" w:rsidR="00000000" w:rsidRPr="00000000">
        <w:rPr>
          <w:vertAlign w:val="baseline"/>
          <w:rtl w:val="0"/>
        </w:rPr>
        <w:t xml:space="preserve">: refere-se à proporção de indíviduos que saem de sua população de origem para se reproduzir em outras populações (estabelecendo fluxo gênico). A taxa varia de 0 a 1, sendo que em 0 as populações estão totalmente isolados e em 1 existe um padrão de panmixia entre todas as populações. Uma taxa de 0.1, por exemplo, indica que 10% dos indivíduos migram antes de se reproduzir.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Intervalo de iteração:</w:t>
      </w:r>
      <w:r w:rsidDel="00000000" w:rsidR="00000000" w:rsidRPr="00000000">
        <w:rPr>
          <w:vertAlign w:val="baseline"/>
          <w:rtl w:val="0"/>
        </w:rPr>
        <w:t xml:space="preserve"> o termo iteração refere-se a repetição de um conjunto de ações. Nesse caso, representa o número de gerações que serão simuladas.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Número de demes</w:t>
      </w:r>
      <w:r w:rsidDel="00000000" w:rsidR="00000000" w:rsidRPr="00000000">
        <w:rPr>
          <w:vertAlign w:val="baseline"/>
          <w:rtl w:val="0"/>
        </w:rPr>
        <w:t xml:space="preserve">: refere-se ao número de populações independentes que serão simuladas por vez. O valor máximo permitido é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u w:val="single"/>
          <w:vertAlign w:val="baseline"/>
          <w:rtl w:val="0"/>
        </w:rPr>
        <w:t xml:space="preserve">Frequência inicial:</w:t>
      </w:r>
      <w:r w:rsidDel="00000000" w:rsidR="00000000" w:rsidRPr="00000000">
        <w:rPr>
          <w:vertAlign w:val="baseline"/>
          <w:rtl w:val="0"/>
        </w:rPr>
        <w:t xml:space="preserve"> refere-se à frequência alélica “p” inicial. Note que é possível definir frequência iniciais distintas para cada população, entretanto não iremos utilizar essa opção nos exercícios de hoje.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Além disso, a opção “Permit Selfing?” </w:t>
      </w:r>
      <w:r w:rsidDel="00000000" w:rsidR="00000000" w:rsidRPr="00000000">
        <w:rPr>
          <w:u w:val="single"/>
          <w:vertAlign w:val="baseline"/>
          <w:rtl w:val="0"/>
        </w:rPr>
        <w:t xml:space="preserve">não</w:t>
      </w:r>
      <w:r w:rsidDel="00000000" w:rsidR="00000000" w:rsidRPr="00000000">
        <w:rPr>
          <w:vertAlign w:val="baseline"/>
          <w:rtl w:val="0"/>
        </w:rPr>
        <w:t xml:space="preserve"> deve estar marcada.</w:t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Estamos interessados no efeito da taxa de migração. Por isso, os demais parâmetros serão fixados no seguintes valores: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Tamanho do Deme: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Intervalo de iteração: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Número de demes: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Frequência inicial: 0.5 - A opção “Set Frequencies Collectively” deve estar marcada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Caso 1. </w:t>
      </w:r>
      <w:r w:rsidDel="00000000" w:rsidR="00000000" w:rsidRPr="00000000">
        <w:rPr>
          <w:vertAlign w:val="baseline"/>
          <w:rtl w:val="0"/>
        </w:rPr>
        <w:t xml:space="preserve">Tamanho do deme (N) = 4 e taxa de migração = 0 (população isoladas)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Esse caso é equivalente a simulação com feijões realizada na Aula 2. Como a taxa de migração é igual a zero, as populações estão completamente isoladas. Aperte o botão “view” algumas vezes e observe os resultados das simulações. Cada linha do gráfico representa uma população. Como vimos nas aulas anteriores, a fixação do alelo ocorre rapidamente em populações tão pequenas. Observe o tempo que demora para que todas as populações tenham fixado um dos alelos. Repita a simulação algumas vezes.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  <w:t xml:space="preserve">1. Qual a proporção esperada de populações em que cada um dos alelos vai se fixar?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2. </w:t>
      </w:r>
      <w:r w:rsidDel="00000000" w:rsidR="00000000" w:rsidRPr="00000000">
        <w:rPr>
          <w:u w:val="single"/>
          <w:vertAlign w:val="baseline"/>
          <w:rtl w:val="0"/>
        </w:rPr>
        <w:t xml:space="preserve">Mude a taxa de migração para 0.1.</w:t>
      </w:r>
      <w:r w:rsidDel="00000000" w:rsidR="00000000" w:rsidRPr="00000000">
        <w:rPr>
          <w:vertAlign w:val="baseline"/>
          <w:rtl w:val="0"/>
        </w:rPr>
        <w:t xml:space="preserve"> Repita a simulação algumas vezes.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. O que aconteceu com a proporção de populações monomórficas ao final da simulação?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Caso 3. </w:t>
      </w:r>
      <w:r w:rsidDel="00000000" w:rsidR="00000000" w:rsidRPr="00000000">
        <w:rPr>
          <w:u w:val="single"/>
          <w:vertAlign w:val="baseline"/>
          <w:rtl w:val="0"/>
        </w:rPr>
        <w:t xml:space="preserve">Mude a taxa de migração para 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Observe a trajetória das frequências alélicas. Note que em algumas populações o alelo atinge a frequência 1 e depois volta a descer. Em outras, ele atinge a frequência 0 e volta a subir.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O que está acontecendo nessas populações?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4. </w:t>
      </w:r>
      <w:r w:rsidDel="00000000" w:rsidR="00000000" w:rsidRPr="00000000">
        <w:rPr>
          <w:u w:val="single"/>
          <w:vertAlign w:val="baseline"/>
          <w:rtl w:val="0"/>
        </w:rPr>
        <w:t xml:space="preserve">Mude a taxa de migração para 1.0.</w:t>
      </w:r>
      <w:r w:rsidDel="00000000" w:rsidR="00000000" w:rsidRPr="00000000">
        <w:rPr>
          <w:vertAlign w:val="baseline"/>
          <w:rtl w:val="0"/>
        </w:rPr>
        <w:t xml:space="preserve"> Repita a simulação algumas vezes.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. Qual a proporção de populações monomórficas ao final da simulação?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. As populações parecem seguir trajetórias independentes ou todas seguem uma trajetória similar? Porque isso ocorre?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trHeight w:val="10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Seleção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Simulações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56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O modelo de seleção natural com o qual trabalharemos nestas simulações assume que a população é infinita e que o fenótipo é determinado diretamente por um único gene autossômico bialélico. Portanto a trajetória das frequências gênicas é determinada unicamente pelos coeficientes de seleção sobre os diferentes genótipos.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1. Ainda no programa Populus, acesse “Model” → “Natural Selection” → “Selection on a Diallelic Autossomal Locus”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2. Note que o programa possui três grupos de parâmetros: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Plot Option: refere-se às opções de visualização das simulações;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Fitness/Selection Coeffs: refere-se às opções sobre os parâmetros de seleção agindo na população;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Initial Conditions: refere-se às informações sobre as condições iniciais da população antes da seleção agir.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hanging="720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Fitness/Selection Coeffs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vertAlign w:val="baseline"/>
          <w:rtl w:val="0"/>
        </w:rPr>
        <w:t xml:space="preserve">Na aba “Fitness” é possível informar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 aptidão relativa de cada genótipo: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; W</w:t>
      </w:r>
      <w:r w:rsidDel="00000000" w:rsidR="00000000" w:rsidRPr="00000000">
        <w:rPr>
          <w:vertAlign w:val="subscript"/>
          <w:rtl w:val="0"/>
        </w:rPr>
        <w:t xml:space="preserve">Aa </w:t>
      </w:r>
      <w:r w:rsidDel="00000000" w:rsidR="00000000" w:rsidRPr="00000000">
        <w:rPr>
          <w:vertAlign w:val="baseline"/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Na aba “Selection” é possível informar dois parâmetros que são equivalentes aos </w:t>
      </w:r>
      <w:r w:rsidDel="00000000" w:rsidR="00000000" w:rsidRPr="00000000">
        <w:rPr>
          <w:rtl w:val="0"/>
        </w:rPr>
        <w:t xml:space="preserve">da aba 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“Fitness”,</w:t>
      </w:r>
      <w:r w:rsidDel="00000000" w:rsidR="00000000" w:rsidRPr="00000000">
        <w:rPr>
          <w:vertAlign w:val="baseline"/>
          <w:rtl w:val="0"/>
        </w:rPr>
        <w:t xml:space="preserve"> de forma que uma é determinada pela outra. Assim, utilizaremos apenas a aba “Fitness” nas simulações.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Initial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Initial Frequency: refere-se à frequência alélica “p” inicial, podemos escolher entre duas opções: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One Initial Frequency: uma única frequência inicial, que é informada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Six Initial Frequencies: seis frequência iniciais padronizadas (p próximo a 1, p = 0.8, p = 0.6, p = 0.4, p = 0.2, p próximo a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Generations: refere-se ao número de gerações que serão simuladas.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Estamos interessados no efeito da dominância e da intensidade de seleção sobre a trajetória da frequência alélica “p”.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Caso 1.  Seleção a favor de um alelo dominante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Simularemos um cenário de seleção a favor de um alelo dominante e com dominância completa (os fenótipos AA e Aa são identicos perante a seleção) . Logo a aptidão dos genótipos AA e Aa é igual a 1, e a aptidão do genótipo aa é menor que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Estabeleça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como 1,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como 0.9, escolha a opção “Six Initial Frequencies” e escolha 1000 gerações. Observe a trajetória da frequências alélicas.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1. O destino final do alelo varia com a frequência inicial? Por que não é necessário repetir a simulação várias vezes para cada valor para entender o padrão geral, como feito para as simulações de deriva?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3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19"/>
        <w:tblGridChange w:id="0">
          <w:tblGrid>
            <w:gridCol w:w="9319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Marque a opção “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 em “Plot Options”. O valor 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3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representa o valor adaptativo médio da população.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2. O que acontece com o valor adaptativo médio da população?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Marque a opção “∆p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 p” em “Plot Options”. O ∆p expressa a variação da frequência do alelo p em função da frequência deste alelo.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. O que acontece com o ∆p quando p </w:t>
      </w:r>
      <w:r w:rsidDel="00000000" w:rsidR="00000000" w:rsidRPr="00000000">
        <w:rPr>
          <w:rtl w:val="0"/>
        </w:rPr>
        <w:t xml:space="preserve">tem valores muito baixos (perto de zero) ou muito altos (perto de </w:t>
      </w:r>
      <w:r w:rsidDel="00000000" w:rsidR="00000000" w:rsidRPr="00000000">
        <w:rPr>
          <w:vertAlign w:val="baseline"/>
          <w:rtl w:val="0"/>
        </w:rPr>
        <w:t xml:space="preserve">1)? Como isso se reflete no gráfico de “p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t”? </w:t>
      </w:r>
      <w:r w:rsidDel="00000000" w:rsidR="00000000" w:rsidRPr="00000000">
        <w:rPr>
          <w:rtl w:val="0"/>
        </w:rPr>
        <w:t xml:space="preserve">Explique porque isso ocorre.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92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5"/>
        <w:tblGridChange w:id="0">
          <w:tblGrid>
            <w:gridCol w:w="9245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Note que para os gráficos “∆p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 e “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 não estamos analisando os dados numa escala temporal, mas apenas em função das frequência alélicas. Dessa forma, questões como as condições iniciais não se aplicam à interpretação desses graficos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Volte ao gráfico de “p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t” e mude o número de gerações para 300. Agora vá diminuindo gradualmente o valor de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até chegar a 0.2.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baseline"/>
          <w:rtl w:val="0"/>
        </w:rPr>
        <w:t xml:space="preserve">.  Como essa mu</w:t>
      </w:r>
      <w:r w:rsidDel="00000000" w:rsidR="00000000" w:rsidRPr="00000000">
        <w:rPr>
          <w:rtl w:val="0"/>
        </w:rPr>
        <w:t xml:space="preserve">dan</w:t>
      </w:r>
      <w:r w:rsidDel="00000000" w:rsidR="00000000" w:rsidRPr="00000000">
        <w:rPr>
          <w:vertAlign w:val="baseline"/>
          <w:rtl w:val="0"/>
        </w:rPr>
        <w:t xml:space="preserve">ça afetou </w:t>
      </w:r>
      <w:r w:rsidDel="00000000" w:rsidR="00000000" w:rsidRPr="00000000">
        <w:rPr>
          <w:rtl w:val="0"/>
        </w:rPr>
        <w:t xml:space="preserve">a forma como a frequência do </w:t>
      </w:r>
      <w:r w:rsidDel="00000000" w:rsidR="00000000" w:rsidRPr="00000000">
        <w:rPr>
          <w:vertAlign w:val="baseline"/>
          <w:rtl w:val="0"/>
        </w:rPr>
        <w:t xml:space="preserve">alelo </w:t>
      </w:r>
      <w:r w:rsidDel="00000000" w:rsidR="00000000" w:rsidRPr="00000000">
        <w:rPr>
          <w:rtl w:val="0"/>
        </w:rPr>
        <w:t xml:space="preserve">muda no</w:t>
      </w:r>
      <w:r w:rsidDel="00000000" w:rsidR="00000000" w:rsidRPr="00000000">
        <w:rPr>
          <w:vertAlign w:val="baseline"/>
          <w:rtl w:val="0"/>
        </w:rPr>
        <w:t xml:space="preserve"> tempo? 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Volte o valor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para 0.9. Agora, observando o gráfico de “p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t” mude o valor de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para 0.95. </w:t>
      </w:r>
      <w:r w:rsidDel="00000000" w:rsidR="00000000" w:rsidRPr="00000000">
        <w:rPr>
          <w:rtl w:val="0"/>
        </w:rPr>
        <w:t xml:space="preserve">(Essa combinação de valores adaptativos (W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rtl w:val="0"/>
        </w:rPr>
        <w:t xml:space="preserve"> = 1, W</w:t>
      </w:r>
      <w:r w:rsidDel="00000000" w:rsidR="00000000" w:rsidRPr="00000000">
        <w:rPr>
          <w:vertAlign w:val="subscript"/>
          <w:rtl w:val="0"/>
        </w:rPr>
        <w:t xml:space="preserve">Aa </w:t>
      </w:r>
      <w:r w:rsidDel="00000000" w:rsidR="00000000" w:rsidRPr="00000000">
        <w:rPr>
          <w:rtl w:val="0"/>
        </w:rPr>
        <w:t xml:space="preserve">= 0.95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rtl w:val="0"/>
        </w:rPr>
        <w:t xml:space="preserve"> = 0.9), corresponde ao padrão de herança que chamamos de aditivo).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6.  Como essa mundaça afetou o aumento da frequência do alelo no tempo? 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3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06"/>
        <w:tblGridChange w:id="0">
          <w:tblGrid>
            <w:gridCol w:w="9306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Observe o gráfico de “∆p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. Para que valor de frequência alélica (p) o ∆p é máximo?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Observe o gráfico de “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5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vertAlign w:val="baseline"/>
          <w:rtl w:val="0"/>
        </w:rPr>
        <w:t xml:space="preserve">. Qual parece ser a relação entre o valor adaptativo médio e a frequência alélica nesse caso?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Marque a opção “One Initial Frequency” em “Initial Conditions”, troque a frequência inicial para o 0.005 e clique no botão “View”. Marque a opção “Genotypic frequency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t” em “Plot Options”.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Iremos comparar esse gráfico em dois dos cenários anteriores: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1,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1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1,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0.95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Observando as proporções entre genótipos ao longo do tempo, responda: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vertAlign w:val="baseline"/>
          <w:rtl w:val="0"/>
        </w:rPr>
        <w:t xml:space="preserve">. Como a proporção entre genótipos nas primeiras 50 gerações se compara nos dois cenários?</w:t>
      </w:r>
      <w:r w:rsidDel="00000000" w:rsidR="00000000" w:rsidRPr="00000000">
        <w:rPr>
          <w:rtl w:val="0"/>
        </w:rPr>
      </w:r>
    </w:p>
    <w:tbl>
      <w:tblPr>
        <w:tblStyle w:val="Table12"/>
        <w:bidi w:val="0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12. Como a proporção entre genótipos após 200 gerações se compara nos dois cenários?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9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13. Porque a seleção se torna particularmente lenta para frequência alélicas altas quando há dominância completa?</w:t>
      </w:r>
      <w:r w:rsidDel="00000000" w:rsidR="00000000" w:rsidRPr="00000000">
        <w:rPr>
          <w:rtl w:val="0"/>
        </w:rPr>
      </w:r>
    </w:p>
    <w:tbl>
      <w:tblPr>
        <w:tblStyle w:val="Table14"/>
        <w:bidi w:val="0"/>
        <w:tblW w:w="92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90"/>
        <w:tblGridChange w:id="0">
          <w:tblGrid>
            <w:gridCol w:w="9290"/>
          </w:tblGrid>
        </w:tblGridChange>
      </w:tblGrid>
      <w:tr>
        <w:trPr>
          <w:trHeight w:val="2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Caso 2 - Seleção a favor do heterozigoto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Como visto em aula e na simulação anterior, a seleção pode eliminar a variação genética em um locus de uma população. Entretanto populações naturais são comumente muito diversas. Um dos mecanismos seletivos que pode manter esta variação (mas não o único) é a seleção à favor do heterozigoto.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Ainda na mesma janela altere os coeficientes de seleção: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0.9,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1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= 0.9.  Escolha a opção “Six Initial Frequencies” e 300 gerações.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1. A frequência do alelo A se aproxima de que valor com o passar do tempo? Qual o efeito da frequência inicial do alelo sobre este resultado?</w:t>
        <w:tab/>
      </w:r>
      <w:r w:rsidDel="00000000" w:rsidR="00000000" w:rsidRPr="00000000">
        <w:rPr>
          <w:rtl w:val="0"/>
        </w:rPr>
      </w:r>
    </w:p>
    <w:tbl>
      <w:tblPr>
        <w:tblStyle w:val="Table15"/>
        <w:bidi w:val="0"/>
        <w:tblW w:w="9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60"/>
        <w:tblGridChange w:id="0">
          <w:tblGrid>
            <w:gridCol w:w="9260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vertAlign w:val="baseline"/>
          <w:rtl w:val="0"/>
        </w:rPr>
        <w:t xml:space="preserve">Marque a opção “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vs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vertAlign w:val="baseline"/>
          <w:rtl w:val="0"/>
        </w:rPr>
        <w:t xml:space="preserve">p</w:t>
      </w:r>
      <w:r w:rsidDel="00000000" w:rsidR="00000000" w:rsidRPr="00000000">
        <w:rPr>
          <w:vertAlign w:val="baseline"/>
          <w:rtl w:val="0"/>
        </w:rPr>
        <w:t xml:space="preserve">” em “Plot Options”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vertAlign w:val="baseline"/>
          <w:rtl w:val="0"/>
        </w:rPr>
        <w:t xml:space="preserve">2. Para que valor da frequência do alélo A o valor adaptativo médio (</w:t>
      </w:r>
      <w:r w:rsidDel="00000000" w:rsidR="00000000" w:rsidRPr="00000000">
        <w:drawing>
          <wp:inline distB="0" distT="0" distL="114300" distR="114300">
            <wp:extent cx="123825" cy="123825"/>
            <wp:effectExtent b="0" l="0" r="0" t="0"/>
            <wp:docPr id="7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) é máximo? </w:t>
      </w:r>
      <w:r w:rsidDel="00000000" w:rsidR="00000000" w:rsidRPr="00000000">
        <w:drawing>
          <wp:inline distB="0" distT="0" distL="114300" distR="114300">
            <wp:extent cx="5884545" cy="838200"/>
            <wp:effectExtent b="0" l="0" r="0" t="0"/>
            <wp:docPr id="6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. Que parâmetros são importantes para determinar a frequência final do alelo A quando há seleção a favor do heterozigoto? </w:t>
      </w:r>
      <w:r w:rsidDel="00000000" w:rsidR="00000000" w:rsidRPr="00000000">
        <w:rPr>
          <w:rtl w:val="0"/>
        </w:rPr>
      </w:r>
    </w:p>
    <w:tbl>
      <w:tblPr>
        <w:tblStyle w:val="Table16"/>
        <w:bidi w:val="0"/>
        <w:tblW w:w="92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75"/>
        <w:tblGridChange w:id="0">
          <w:tblGrid>
            <w:gridCol w:w="9275"/>
          </w:tblGrid>
        </w:tblGridChange>
      </w:tblGrid>
      <w:tr>
        <w:trPr>
          <w:trHeight w:val="10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Seleção e deriva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vertAlign w:val="baseline"/>
          <w:rtl w:val="0"/>
        </w:rPr>
        <w:tab/>
        <w:t xml:space="preserve">Como vimos anteriormente a seleção é um processo direcional, no qual a a trajetória das frequências alélicas é determinada pelos coeficientes seletivos e pela frequência inicial. A deriva genética, por outro lado, é um processo estocástico no qual a trajetória das frequências alélicas em uma população não pode ser previsto. Cada um destes processos, deriva e seleção, quebra um dos pressupostos do teorema de Hardy-Weinberg, agora faremos algo radical e quebraremos dois pressupostos ao mesmo tempo: vamos analizar o efeito da interação entre seleção e deriva.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Já que faremos algo tão radical, achamos que seria interessante compilar os resultados de toda a sala e analisar os padrões gerais observados. Para cada um dos cenários abaixo cada dupla deve rodar 20 simulações e registrar se o alelo A foi fixado, perdido ou se o polimorfismo se manteve. Além disso para as duas primeiras simulações de cada cenário as duplas devem registrar a frequência final (aproximada) do alelo 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vertAlign w:val="baseline"/>
          <w:rtl w:val="0"/>
        </w:rPr>
        <w:t xml:space="preserve">Acesse “Model” → “Mendelian Genetics” → “Drift and Selection”. Os parâmetros necessários já são velhos conhecidos das simulações anteriores.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1. População pequena e seleção fraca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Utilize os seguintes parâmetros: tamanho populacional de 10 indivíduos, frequência inicial igual a 0.1,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iguais a 1 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igual a 0.90 e 100 gerações.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1. Anote a frequência final aproximada da primeira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2. Anote a frequência final aproximada da segunda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8757.000000000004" w:type="dxa"/>
        <w:jc w:val="center"/>
        <w:tblInd w:w="5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tblGridChange w:id="0">
          <w:tblGrid>
            <w:gridCol w:w="1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Alelo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POLIMORF.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3.  Nas 20 simulações, qual o número de vezes no qual o alelo A foi </w:t>
      </w:r>
      <w:r w:rsidDel="00000000" w:rsidR="00000000" w:rsidRPr="00000000">
        <w:rPr>
          <w:u w:val="single"/>
          <w:vertAlign w:val="baseline"/>
          <w:rtl w:val="0"/>
        </w:rPr>
        <w:t xml:space="preserve">perdido</w:t>
      </w:r>
      <w:r w:rsidDel="00000000" w:rsidR="00000000" w:rsidRPr="00000000">
        <w:rPr>
          <w:vertAlign w:val="baseline"/>
          <w:rtl w:val="0"/>
        </w:rPr>
        <w:t xml:space="preserve">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4.  Qual o número de populações polimórficas após 100 gerações?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2. População pequena e seleção 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Utilize os mesmos parâmetros da simulação anterior, mas reduzindo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para 0.5.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5. Anote a frequência final aproximada da primeira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6. Anote a frequência final aproximada da segunda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8757.000000000004" w:type="dxa"/>
        <w:jc w:val="center"/>
        <w:tblInd w:w="5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tblGridChange w:id="0">
          <w:tblGrid>
            <w:gridCol w:w="1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Alelo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POLIMORF.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7.  Nas 20 simulações, qual o número de vezes no qual o alelo A foi </w:t>
      </w:r>
      <w:r w:rsidDel="00000000" w:rsidR="00000000" w:rsidRPr="00000000">
        <w:rPr>
          <w:u w:val="single"/>
          <w:vertAlign w:val="baseline"/>
          <w:rtl w:val="0"/>
        </w:rPr>
        <w:t xml:space="preserve">perdido</w:t>
      </w:r>
      <w:r w:rsidDel="00000000" w:rsidR="00000000" w:rsidRPr="00000000">
        <w:rPr>
          <w:vertAlign w:val="baseline"/>
          <w:rtl w:val="0"/>
        </w:rPr>
        <w:t xml:space="preserve">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8.  Qual o número de populações polimórficas após 100 gerações?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3. População maior com seleção fraca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Repita o caso 1 porém com uma população de 100 indivíduos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9. Anote a frequência final aproximada da primeira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10. Anote a frequência final aproximada da segunda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8757.000000000004" w:type="dxa"/>
        <w:jc w:val="center"/>
        <w:tblInd w:w="5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tblGridChange w:id="0">
          <w:tblGrid>
            <w:gridCol w:w="1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Alelo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POLIMORF.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11. Nas 20 simulações, qual o número de vezes no qual o alelo A foi </w:t>
      </w:r>
      <w:r w:rsidDel="00000000" w:rsidR="00000000" w:rsidRPr="00000000">
        <w:rPr>
          <w:u w:val="single"/>
          <w:vertAlign w:val="baseline"/>
          <w:rtl w:val="0"/>
        </w:rPr>
        <w:t xml:space="preserve">perdido</w:t>
      </w:r>
      <w:r w:rsidDel="00000000" w:rsidR="00000000" w:rsidRPr="00000000">
        <w:rPr>
          <w:vertAlign w:val="baseline"/>
          <w:rtl w:val="0"/>
        </w:rPr>
        <w:t xml:space="preserve">?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12.  Qual o número de populações polimórficas após 100 gerações?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vertAlign w:val="baseline"/>
          <w:rtl w:val="0"/>
        </w:rPr>
        <w:t xml:space="preserve">Caso 4. População maior com seleção forte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Repita o caso 3 reduzindo o valor de W</w:t>
      </w:r>
      <w:r w:rsidDel="00000000" w:rsidR="00000000" w:rsidRPr="00000000">
        <w:rPr>
          <w:vertAlign w:val="subscript"/>
          <w:rtl w:val="0"/>
        </w:rPr>
        <w:t xml:space="preserve">aa</w:t>
      </w:r>
      <w:r w:rsidDel="00000000" w:rsidR="00000000" w:rsidRPr="00000000">
        <w:rPr>
          <w:vertAlign w:val="baseline"/>
          <w:rtl w:val="0"/>
        </w:rPr>
        <w:t xml:space="preserve"> para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13. Anote a frequência final aproximada da primeira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14. Anote a frequência final aproximada da segunda simulação 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8757.000000000004" w:type="dxa"/>
        <w:jc w:val="center"/>
        <w:tblInd w:w="5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tblGridChange w:id="0">
          <w:tblGrid>
            <w:gridCol w:w="1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3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  <w:gridCol w:w="41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Alelo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PERDIDO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FIXADO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POLIMORF.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15. Nas 20 simulações, qual o número de vezes no qual o alelo A foi </w:t>
      </w:r>
      <w:r w:rsidDel="00000000" w:rsidR="00000000" w:rsidRPr="00000000">
        <w:rPr>
          <w:u w:val="single"/>
          <w:vertAlign w:val="baseline"/>
          <w:rtl w:val="0"/>
        </w:rPr>
        <w:t xml:space="preserve">perdido</w:t>
      </w:r>
      <w:r w:rsidDel="00000000" w:rsidR="00000000" w:rsidRPr="00000000">
        <w:rPr>
          <w:vertAlign w:val="baseline"/>
          <w:rtl w:val="0"/>
        </w:rPr>
        <w:t xml:space="preserve">?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16.  Qual o número de populações polimórficas após 100 gerações?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18. Em que situações o alelo “a” se fixou? Como você explica a fixação do alelo com menor valor adaptativo?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878195" cy="838200"/>
            <wp:effectExtent b="0" l="0" r="0" t="0"/>
            <wp:docPr id="8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19. Nas populações grandes, qual foi a diferença entre a seleção forte e fraca para o resultado final?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848350" cy="83375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3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="240" w:lineRule="auto"/>
      <w:contextualSpacing w:val="0"/>
    </w:pPr>
    <w:r w:rsidDel="00000000" w:rsidR="00000000" w:rsidRPr="00000000">
      <w:rPr>
        <w:rtl w:val="0"/>
      </w:rPr>
    </w:r>
  </w:p>
  <w:tbl>
    <w:tblPr>
      <w:tblStyle w:val="Table21"/>
      <w:bidi w:val="0"/>
      <w:tblW w:w="956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647"/>
      <w:gridCol w:w="1913"/>
      <w:tblGridChange w:id="0">
        <w:tblGrid>
          <w:gridCol w:w="7647"/>
          <w:gridCol w:w="1913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before="708" w:lineRule="auto"/>
            <w:contextualSpacing w:val="0"/>
          </w:pPr>
          <w:r w:rsidDel="00000000" w:rsidR="00000000" w:rsidRPr="00000000">
            <w:rPr>
              <w:vertAlign w:val="baseline"/>
              <w:rtl w:val="0"/>
            </w:rPr>
            <w:t xml:space="preserve">BIO 208 - Processos Evolutivos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spacing w:before="708" w:lineRule="auto"/>
            <w:contextualSpacing w:val="0"/>
            <w:jc w:val="right"/>
          </w:pPr>
          <w:r w:rsidDel="00000000" w:rsidR="00000000" w:rsidRPr="00000000">
            <w:rPr>
              <w:vertAlign w:val="baseline"/>
              <w:rtl w:val="0"/>
            </w:rPr>
            <w:t xml:space="preserve">Aula 4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before="708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9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41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3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7.png"/><Relationship Id="rId7" Type="http://schemas.openxmlformats.org/officeDocument/2006/relationships/header" Target="header1.xml"/></Relationships>
</file>