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Health Insurance Member Utilization Risk</w:t>
      </w:r>
    </w:p>
    <w:p>
      <w:pPr>
        <w:jc w:val="center"/>
      </w:pPr>
      <w:r>
        <w:rPr>
          <w:i/>
        </w:rPr>
        <w:t>Project observations, modeling approach, and latest results</w:t>
      </w:r>
    </w:p>
    <w:p>
      <w:pPr>
        <w:jc w:val="center"/>
      </w:pPr>
      <w:r>
        <w:t>Updated: 6 October 2026</w:t>
      </w:r>
    </w:p>
    <w:p>
      <w:pPr>
        <w:pStyle w:val="Heading1"/>
      </w:pPr>
      <w:r>
        <w:t>Executive summary</w:t>
      </w:r>
    </w:p>
    <w:p>
      <w:r>
        <w:t>This project builds a member-level multiclass classification workflow using 17 local OMOP-style CSV tables (58,911,691 source rows inventoried). Event records are aggregated by person_id before joining, and features are restricted to information known before each prediction date. Five classifiers are compared. XGBoost ranked highest on validation macro-F1 and was selected/tuned; final held-out test accuracy was 73.51%, macro-F1 0.739, and weighted-F1 0.738.</w:t>
      </w:r>
    </w:p>
    <w:p>
      <w:pPr>
        <w:pStyle w:val="Heading1"/>
      </w:pPr>
      <w:r>
        <w:t>Target definition and limitation</w:t>
      </w:r>
    </w:p>
    <w:p>
      <w:r>
        <w:t>The source tables contain no observed Member_Utilization_Risk label or paid claims/cost outcome. The project creates a proxy for relative future visit intensity, not insurance cost, medical necessity, or a validated clinical/actuarial risk score. Do not use it for individual coverage or care decisions.</w:t>
      </w:r>
    </w:p>
    <w:p>
      <w:pPr>
        <w:pStyle w:val="ListNumber"/>
      </w:pPr>
      <w:r>
        <w:t>Eligible members have at least 365 days in the observation period.</w:t>
      </w:r>
    </w:p>
    <w:p>
      <w:pPr>
        <w:pStyle w:val="ListNumber"/>
      </w:pPr>
      <w:r>
        <w:t>The first two-thirds of each member period form the history window; the final third is the outcome window.</w:t>
      </w:r>
    </w:p>
    <w:p>
      <w:pPr>
        <w:pStyle w:val="ListNumber"/>
      </w:pPr>
      <w:r>
        <w:t>Future visits are counted and annualized by follow-up duration.</w:t>
      </w:r>
    </w:p>
    <w:p>
      <w:pPr>
        <w:pStyle w:val="ListNumber"/>
      </w:pPr>
      <w:r>
        <w:t>Training-cohort 33rd and 67th percentiles assign Low, Medium, and High.</w:t>
      </w:r>
    </w:p>
    <w:p>
      <w:r>
        <w:t>Training-derived cutoffs: 9.25 and 21.94 annualized future visits.</w:t>
      </w:r>
    </w:p>
    <w:p>
      <w:pPr>
        <w:pStyle w:val="Heading1"/>
      </w:pPr>
      <w:r>
        <w:t>Data merging and preprocessing</w:t>
      </w:r>
    </w:p>
    <w:p>
      <w:r>
        <w:t>person_id is the member key. Event tables are aggregated per member before left joining to the person/observation-period cohort; direct event-to-event joins are avoided to prevent row multiplication. Occurrence/exposure tables supply condition and drug counts; era tables are excluded to avoid duplicate history. Reference tables (provider, care site, location, drug strength) are not model features. The EDA found substantial missingness, including entirely empty optional fields; rows are retained and missing values imputed rather than dropping members wholesale.</w:t>
      </w:r>
    </w:p>
    <w:p>
      <w:r>
        <w:t>Numeric fields use median imputation and StandardScaler; categorical concept codes use most-frequent imputation and one-hot encoding. Preprocessing is fitted within pipelines using training data only.</w:t>
      </w:r>
    </w:p>
    <w:p>
      <w:pPr>
        <w:pStyle w:val="Heading1"/>
      </w:pPr>
      <w:r>
        <w:t>Final model features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4968"/>
          </w:tcPr>
          <w:p>
            <w:r>
              <w:t>gender_concept_id</w:t>
            </w:r>
          </w:p>
        </w:tc>
        <w:tc>
          <w:tcPr>
            <w:tcW w:type="dxa" w:w="4968"/>
          </w:tcPr>
          <w:p>
            <w:r>
              <w:t>Gender code</w:t>
            </w:r>
          </w:p>
        </w:tc>
      </w:tr>
      <w:tr>
        <w:tc>
          <w:tcPr>
            <w:tcW w:type="dxa" w:w="4968"/>
          </w:tcPr>
          <w:p>
            <w:r>
              <w:t>race_concept_id</w:t>
            </w:r>
          </w:p>
        </w:tc>
        <w:tc>
          <w:tcPr>
            <w:tcW w:type="dxa" w:w="4968"/>
          </w:tcPr>
          <w:p>
            <w:r>
              <w:t>Race code</w:t>
            </w:r>
          </w:p>
        </w:tc>
      </w:tr>
      <w:tr>
        <w:tc>
          <w:tcPr>
            <w:tcW w:type="dxa" w:w="4968"/>
          </w:tcPr>
          <w:p>
            <w:r>
              <w:t>ethnicity_concept_id</w:t>
            </w:r>
          </w:p>
        </w:tc>
        <w:tc>
          <w:tcPr>
            <w:tcW w:type="dxa" w:w="4968"/>
          </w:tcPr>
          <w:p>
            <w:r>
              <w:t>Ethnicity code</w:t>
            </w:r>
          </w:p>
        </w:tc>
      </w:tr>
      <w:tr>
        <w:tc>
          <w:tcPr>
            <w:tcW w:type="dxa" w:w="4968"/>
          </w:tcPr>
          <w:p>
            <w:r>
              <w:t>age_at_index</w:t>
            </w:r>
          </w:p>
        </w:tc>
        <w:tc>
          <w:tcPr>
            <w:tcW w:type="dxa" w:w="4968"/>
          </w:tcPr>
          <w:p>
            <w:r>
              <w:t>Age at prediction date</w:t>
            </w:r>
          </w:p>
        </w:tc>
      </w:tr>
      <w:tr>
        <w:tc>
          <w:tcPr>
            <w:tcW w:type="dxa" w:w="4968"/>
          </w:tcPr>
          <w:p>
            <w:r>
              <w:t>baseline_years</w:t>
            </w:r>
          </w:p>
        </w:tc>
        <w:tc>
          <w:tcPr>
            <w:tcW w:type="dxa" w:w="4968"/>
          </w:tcPr>
          <w:p>
            <w:r>
              <w:t>Pre-prediction history duration</w:t>
            </w:r>
          </w:p>
        </w:tc>
      </w:tr>
      <w:tr>
        <w:tc>
          <w:tcPr>
            <w:tcW w:type="dxa" w:w="4968"/>
          </w:tcPr>
          <w:p>
            <w:r>
              <w:t>visits_baseline_count</w:t>
            </w:r>
          </w:p>
        </w:tc>
        <w:tc>
          <w:tcPr>
            <w:tcW w:type="dxa" w:w="4968"/>
          </w:tcPr>
          <w:p>
            <w:r>
              <w:t>Pre-index visits</w:t>
            </w:r>
          </w:p>
        </w:tc>
      </w:tr>
      <w:tr>
        <w:tc>
          <w:tcPr>
            <w:tcW w:type="dxa" w:w="4968"/>
          </w:tcPr>
          <w:p>
            <w:r>
              <w:t>conditions_baseline_count</w:t>
            </w:r>
          </w:p>
        </w:tc>
        <w:tc>
          <w:tcPr>
            <w:tcW w:type="dxa" w:w="4968"/>
          </w:tcPr>
          <w:p>
            <w:r>
              <w:t>Pre-index condition records</w:t>
            </w:r>
          </w:p>
        </w:tc>
      </w:tr>
      <w:tr>
        <w:tc>
          <w:tcPr>
            <w:tcW w:type="dxa" w:w="4968"/>
          </w:tcPr>
          <w:p>
            <w:r>
              <w:t>procedures_baseline_count</w:t>
            </w:r>
          </w:p>
        </w:tc>
        <w:tc>
          <w:tcPr>
            <w:tcW w:type="dxa" w:w="4968"/>
          </w:tcPr>
          <w:p>
            <w:r>
              <w:t>Pre-index procedure records</w:t>
            </w:r>
          </w:p>
        </w:tc>
      </w:tr>
      <w:tr>
        <w:tc>
          <w:tcPr>
            <w:tcW w:type="dxa" w:w="4968"/>
          </w:tcPr>
          <w:p>
            <w:r>
              <w:t>drug_exposures_baseline_count</w:t>
            </w:r>
          </w:p>
        </w:tc>
        <w:tc>
          <w:tcPr>
            <w:tcW w:type="dxa" w:w="4968"/>
          </w:tcPr>
          <w:p>
            <w:r>
              <w:t>Pre-index drug exposures</w:t>
            </w:r>
          </w:p>
        </w:tc>
      </w:tr>
      <w:tr>
        <w:tc>
          <w:tcPr>
            <w:tcW w:type="dxa" w:w="4968"/>
          </w:tcPr>
          <w:p>
            <w:r>
              <w:t>measurements_baseline_count</w:t>
            </w:r>
          </w:p>
        </w:tc>
        <w:tc>
          <w:tcPr>
            <w:tcW w:type="dxa" w:w="4968"/>
          </w:tcPr>
          <w:p>
            <w:r>
              <w:t>Pre-index measurements</w:t>
            </w:r>
          </w:p>
        </w:tc>
      </w:tr>
      <w:tr>
        <w:tc>
          <w:tcPr>
            <w:tcW w:type="dxa" w:w="4968"/>
          </w:tcPr>
          <w:p>
            <w:r>
              <w:t>observations_baseline_count</w:t>
            </w:r>
          </w:p>
        </w:tc>
        <w:tc>
          <w:tcPr>
            <w:tcW w:type="dxa" w:w="4968"/>
          </w:tcPr>
          <w:p>
            <w:r>
              <w:t>Pre-index observations</w:t>
            </w:r>
          </w:p>
        </w:tc>
      </w:tr>
      <w:tr>
        <w:tc>
          <w:tcPr>
            <w:tcW w:type="dxa" w:w="4968"/>
          </w:tcPr>
          <w:p>
            <w:r>
              <w:t>devices_baseline_count</w:t>
            </w:r>
          </w:p>
        </w:tc>
        <w:tc>
          <w:tcPr>
            <w:tcW w:type="dxa" w:w="4968"/>
          </w:tcPr>
          <w:p>
            <w:r>
              <w:t>Pre-index device exposures</w:t>
            </w:r>
          </w:p>
        </w:tc>
      </w:tr>
      <w:tr>
        <w:tc>
          <w:tcPr>
            <w:tcW w:type="dxa" w:w="4968"/>
          </w:tcPr>
          <w:p>
            <w:r>
              <w:t>baseline_payer_plan_period_count</w:t>
            </w:r>
          </w:p>
        </w:tc>
        <w:tc>
          <w:tcPr>
            <w:tcW w:type="dxa" w:w="4968"/>
          </w:tcPr>
          <w:p>
            <w:r>
              <w:t>Plan periods started before prediction</w:t>
            </w:r>
          </w:p>
        </w:tc>
      </w:tr>
    </w:tbl>
    <w:p/>
    <w:p>
      <w:r>
        <w:t>person_id is used for joining/splitting but not as a predictor. Future visit count and follow-up duration are target construction values and are excluded from model inputs.</w:t>
      </w:r>
    </w:p>
    <w:p>
      <w:pPr>
        <w:pStyle w:val="Heading1"/>
      </w:pPr>
      <w:r>
        <w:t>Partitions and target distribution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</w:tcPr>
          <w:p>
            <w:r>
              <w:rPr>
                <w:b/>
                <w:color w:val="FFFFFF"/>
              </w:rPr>
              <w:t>Partition</w:t>
            </w:r>
          </w:p>
        </w:tc>
        <w:tc>
          <w:tcPr>
            <w:tcW w:type="dxa" w:w="3312"/>
            <w:shd w:fill="1F4E78"/>
          </w:tcPr>
          <w:p>
            <w:r>
              <w:rPr>
                <w:b/>
                <w:color w:val="FFFFFF"/>
              </w:rPr>
              <w:t>Members</w:t>
            </w:r>
          </w:p>
        </w:tc>
        <w:tc>
          <w:tcPr>
            <w:tcW w:type="dxa" w:w="3312"/>
            <w:shd w:fill="1F4E78"/>
          </w:tcPr>
          <w:p>
            <w:r>
              <w:rPr>
                <w:b/>
                <w:color w:val="FFFFFF"/>
              </w:rPr>
              <w:t>Share</w:t>
            </w:r>
          </w:p>
        </w:tc>
      </w:tr>
      <w:tr>
        <w:tc>
          <w:tcPr>
            <w:tcW w:type="dxa" w:w="3312"/>
          </w:tcPr>
          <w:p>
            <w:r>
              <w:t>Train</w:t>
            </w:r>
          </w:p>
        </w:tc>
        <w:tc>
          <w:tcPr>
            <w:tcW w:type="dxa" w:w="3312"/>
          </w:tcPr>
          <w:p>
            <w:r>
              <w:t>34,807</w:t>
            </w:r>
          </w:p>
        </w:tc>
        <w:tc>
          <w:tcPr>
            <w:tcW w:type="dxa" w:w="3312"/>
          </w:tcPr>
          <w:p>
            <w:r>
              <w:t>40%</w:t>
            </w:r>
          </w:p>
        </w:tc>
      </w:tr>
      <w:tr>
        <w:tc>
          <w:tcPr>
            <w:tcW w:type="dxa" w:w="3312"/>
          </w:tcPr>
          <w:p>
            <w:r>
              <w:t>Validation</w:t>
            </w:r>
          </w:p>
        </w:tc>
        <w:tc>
          <w:tcPr>
            <w:tcW w:type="dxa" w:w="3312"/>
          </w:tcPr>
          <w:p>
            <w:r>
              <w:t>8,701</w:t>
            </w:r>
          </w:p>
        </w:tc>
        <w:tc>
          <w:tcPr>
            <w:tcW w:type="dxa" w:w="3312"/>
          </w:tcPr>
          <w:p>
            <w:r>
              <w:t>10%</w:t>
            </w:r>
          </w:p>
        </w:tc>
      </w:tr>
      <w:tr>
        <w:tc>
          <w:tcPr>
            <w:tcW w:type="dxa" w:w="3312"/>
          </w:tcPr>
          <w:p>
            <w:r>
              <w:t>Test</w:t>
            </w:r>
          </w:p>
        </w:tc>
        <w:tc>
          <w:tcPr>
            <w:tcW w:type="dxa" w:w="3312"/>
          </w:tcPr>
          <w:p>
            <w:r>
              <w:t>8,701</w:t>
            </w:r>
          </w:p>
        </w:tc>
        <w:tc>
          <w:tcPr>
            <w:tcW w:type="dxa" w:w="3312"/>
          </w:tcPr>
          <w:p>
            <w:r>
              <w:t>10%</w:t>
            </w:r>
          </w:p>
        </w:tc>
      </w:tr>
      <w:tr>
        <w:tc>
          <w:tcPr>
            <w:tcW w:type="dxa" w:w="3312"/>
          </w:tcPr>
          <w:p>
            <w:r>
              <w:t>Reserved production (features only)</w:t>
            </w:r>
          </w:p>
        </w:tc>
        <w:tc>
          <w:tcPr>
            <w:tcW w:type="dxa" w:w="3312"/>
          </w:tcPr>
          <w:p>
            <w:r>
              <w:t>34,810</w:t>
            </w:r>
          </w:p>
        </w:tc>
        <w:tc>
          <w:tcPr>
            <w:tcW w:type="dxa" w:w="3312"/>
          </w:tcPr>
          <w:p>
            <w:r>
              <w:t>40%</w:t>
            </w:r>
          </w:p>
        </w:tc>
      </w:tr>
    </w:tbl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</w:tcPr>
          <w:p>
            <w:r>
              <w:rPr>
                <w:b/>
                <w:color w:val="FFFFFF"/>
              </w:rPr>
              <w:t>Class</w:t>
            </w:r>
          </w:p>
        </w:tc>
        <w:tc>
          <w:tcPr>
            <w:tcW w:type="dxa" w:w="2484"/>
            <w:shd w:fill="1F4E78"/>
          </w:tcPr>
          <w:p>
            <w:r>
              <w:rPr>
                <w:b/>
                <w:color w:val="FFFFFF"/>
              </w:rPr>
              <w:t>Train</w:t>
            </w:r>
          </w:p>
        </w:tc>
        <w:tc>
          <w:tcPr>
            <w:tcW w:type="dxa" w:w="2484"/>
            <w:shd w:fill="1F4E78"/>
          </w:tcPr>
          <w:p>
            <w:r>
              <w:rPr>
                <w:b/>
                <w:color w:val="FFFFFF"/>
              </w:rPr>
              <w:t>Validation</w:t>
            </w:r>
          </w:p>
        </w:tc>
        <w:tc>
          <w:tcPr>
            <w:tcW w:type="dxa" w:w="2484"/>
            <w:shd w:fill="1F4E78"/>
          </w:tcPr>
          <w:p>
            <w:r>
              <w:rPr>
                <w:b/>
                <w:color w:val="FFFFFF"/>
              </w:rPr>
              <w:t>Test</w:t>
            </w:r>
          </w:p>
        </w:tc>
      </w:tr>
      <w:tr>
        <w:tc>
          <w:tcPr>
            <w:tcW w:type="dxa" w:w="2484"/>
          </w:tcPr>
          <w:p>
            <w:r>
              <w:t>Low</w:t>
            </w:r>
          </w:p>
        </w:tc>
        <w:tc>
          <w:tcPr>
            <w:tcW w:type="dxa" w:w="2484"/>
          </w:tcPr>
          <w:p>
            <w:r>
              <w:t>11,607 (33.35%)</w:t>
            </w:r>
          </w:p>
        </w:tc>
        <w:tc>
          <w:tcPr>
            <w:tcW w:type="dxa" w:w="2484"/>
          </w:tcPr>
          <w:p>
            <w:r>
              <w:t>2,889 (33.20%)</w:t>
            </w:r>
          </w:p>
        </w:tc>
        <w:tc>
          <w:tcPr>
            <w:tcW w:type="dxa" w:w="2484"/>
          </w:tcPr>
          <w:p>
            <w:r>
              <w:t>2,832 (32.55%)</w:t>
            </w:r>
          </w:p>
        </w:tc>
      </w:tr>
      <w:tr>
        <w:tc>
          <w:tcPr>
            <w:tcW w:type="dxa" w:w="2484"/>
          </w:tcPr>
          <w:p>
            <w:r>
              <w:t>Medium</w:t>
            </w:r>
          </w:p>
        </w:tc>
        <w:tc>
          <w:tcPr>
            <w:tcW w:type="dxa" w:w="2484"/>
          </w:tcPr>
          <w:p>
            <w:r>
              <w:t>11,608 (33.35%)</w:t>
            </w:r>
          </w:p>
        </w:tc>
        <w:tc>
          <w:tcPr>
            <w:tcW w:type="dxa" w:w="2484"/>
          </w:tcPr>
          <w:p>
            <w:r>
              <w:t>2,890 (33.21%)</w:t>
            </w:r>
          </w:p>
        </w:tc>
        <w:tc>
          <w:tcPr>
            <w:tcW w:type="dxa" w:w="2484"/>
          </w:tcPr>
          <w:p>
            <w:r>
              <w:t>2,907 (33.41%)</w:t>
            </w:r>
          </w:p>
        </w:tc>
      </w:tr>
      <w:tr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11,592 (33.30%)</w:t>
            </w:r>
          </w:p>
        </w:tc>
        <w:tc>
          <w:tcPr>
            <w:tcW w:type="dxa" w:w="2484"/>
          </w:tcPr>
          <w:p>
            <w:r>
              <w:t>2,922 (33.58%)</w:t>
            </w:r>
          </w:p>
        </w:tc>
        <w:tc>
          <w:tcPr>
            <w:tcW w:type="dxa" w:w="2484"/>
          </w:tcPr>
          <w:p>
            <w:r>
              <w:t>2,962 (34.04%)</w:t>
            </w:r>
          </w:p>
        </w:tc>
      </w:tr>
    </w:tbl>
    <w:p/>
    <w:p>
      <w:r>
        <w:t>Member partitions are mutually exclusive. Production contains features only and is not used for selection or evaluation.</w:t>
      </w:r>
    </w:p>
    <w:p>
      <w:pPr>
        <w:pStyle w:val="Heading1"/>
      </w:pPr>
      <w:r>
        <w:t>Models and validation comparison</w:t>
      </w:r>
    </w:p>
    <w:p>
      <w:r>
        <w:t>The five candidates are Logistic Regression, Decision Tree, Random Forest, Extra Trees, and XGBoost. The saved validation comparison below uses base candidate configurations; selection is by macro-F1, then accuracy.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484"/>
            <w:shd w:fill="1F4E78"/>
          </w:tcPr>
          <w:p>
            <w:r>
              <w:rPr>
                <w:b/>
                <w:color w:val="FFFFFF"/>
              </w:rPr>
              <w:t>Validation accuracy</w:t>
            </w:r>
          </w:p>
        </w:tc>
        <w:tc>
          <w:tcPr>
            <w:tcW w:type="dxa" w:w="2484"/>
            <w:shd w:fill="1F4E78"/>
          </w:tcPr>
          <w:p>
            <w:r>
              <w:rPr>
                <w:b/>
                <w:color w:val="FFFFFF"/>
              </w:rPr>
              <w:t>Validation macro-F1</w:t>
            </w:r>
          </w:p>
        </w:tc>
        <w:tc>
          <w:tcPr>
            <w:tcW w:type="dxa" w:w="2484"/>
            <w:shd w:fill="1F4E78"/>
          </w:tcPr>
          <w:p>
            <w:r>
              <w:rPr>
                <w:b/>
                <w:color w:val="FFFFFF"/>
              </w:rPr>
              <w:t>Validation weighted-F1</w:t>
            </w:r>
          </w:p>
        </w:tc>
      </w:tr>
      <w:tr>
        <w:tc>
          <w:tcPr>
            <w:tcW w:type="dxa" w:w="2484"/>
          </w:tcPr>
          <w:p>
            <w:r>
              <w:t>Xgboost</w:t>
            </w:r>
          </w:p>
        </w:tc>
        <w:tc>
          <w:tcPr>
            <w:tcW w:type="dxa" w:w="2484"/>
          </w:tcPr>
          <w:p>
            <w:r>
              <w:t>73.12%</w:t>
            </w:r>
          </w:p>
        </w:tc>
        <w:tc>
          <w:tcPr>
            <w:tcW w:type="dxa" w:w="2484"/>
          </w:tcPr>
          <w:p>
            <w:r>
              <w:t>0.735</w:t>
            </w:r>
          </w:p>
        </w:tc>
        <w:tc>
          <w:tcPr>
            <w:tcW w:type="dxa" w:w="2484"/>
          </w:tcPr>
          <w:p>
            <w:r>
              <w:t>0.735</w:t>
            </w:r>
          </w:p>
        </w:tc>
      </w:tr>
      <w:tr>
        <w:tc>
          <w:tcPr>
            <w:tcW w:type="dxa" w:w="2484"/>
          </w:tcPr>
          <w:p>
            <w:r>
              <w:t>Random Forest</w:t>
            </w:r>
          </w:p>
        </w:tc>
        <w:tc>
          <w:tcPr>
            <w:tcW w:type="dxa" w:w="2484"/>
          </w:tcPr>
          <w:p>
            <w:r>
              <w:t>72.98%</w:t>
            </w:r>
          </w:p>
        </w:tc>
        <w:tc>
          <w:tcPr>
            <w:tcW w:type="dxa" w:w="2484"/>
          </w:tcPr>
          <w:p>
            <w:r>
              <w:t>0.733</w:t>
            </w:r>
          </w:p>
        </w:tc>
        <w:tc>
          <w:tcPr>
            <w:tcW w:type="dxa" w:w="2484"/>
          </w:tcPr>
          <w:p>
            <w:r>
              <w:t>0.733</w:t>
            </w:r>
          </w:p>
        </w:tc>
      </w:tr>
      <w:tr>
        <w:tc>
          <w:tcPr>
            <w:tcW w:type="dxa" w:w="2484"/>
          </w:tcPr>
          <w:p>
            <w:r>
              <w:t>Extra Trees</w:t>
            </w:r>
          </w:p>
        </w:tc>
        <w:tc>
          <w:tcPr>
            <w:tcW w:type="dxa" w:w="2484"/>
          </w:tcPr>
          <w:p>
            <w:r>
              <w:t>72.76%</w:t>
            </w:r>
          </w:p>
        </w:tc>
        <w:tc>
          <w:tcPr>
            <w:tcW w:type="dxa" w:w="2484"/>
          </w:tcPr>
          <w:p>
            <w:r>
              <w:t>0.731</w:t>
            </w:r>
          </w:p>
        </w:tc>
        <w:tc>
          <w:tcPr>
            <w:tcW w:type="dxa" w:w="2484"/>
          </w:tcPr>
          <w:p>
            <w:r>
              <w:t>0.731</w:t>
            </w:r>
          </w:p>
        </w:tc>
      </w:tr>
      <w:tr>
        <w:tc>
          <w:tcPr>
            <w:tcW w:type="dxa" w:w="2484"/>
          </w:tcPr>
          <w:p>
            <w:r>
              <w:t>Logistic Regression</w:t>
            </w:r>
          </w:p>
        </w:tc>
        <w:tc>
          <w:tcPr>
            <w:tcW w:type="dxa" w:w="2484"/>
          </w:tcPr>
          <w:p>
            <w:r>
              <w:t>69.76%</w:t>
            </w:r>
          </w:p>
        </w:tc>
        <w:tc>
          <w:tcPr>
            <w:tcW w:type="dxa" w:w="2484"/>
          </w:tcPr>
          <w:p>
            <w:r>
              <w:t>0.698</w:t>
            </w:r>
          </w:p>
        </w:tc>
        <w:tc>
          <w:tcPr>
            <w:tcW w:type="dxa" w:w="2484"/>
          </w:tcPr>
          <w:p>
            <w:r>
              <w:t>0.698</w:t>
            </w:r>
          </w:p>
        </w:tc>
      </w:tr>
      <w:tr>
        <w:tc>
          <w:tcPr>
            <w:tcW w:type="dxa" w:w="2484"/>
          </w:tcPr>
          <w:p>
            <w:r>
              <w:t>Decision Tree</w:t>
            </w:r>
          </w:p>
        </w:tc>
        <w:tc>
          <w:tcPr>
            <w:tcW w:type="dxa" w:w="2484"/>
          </w:tcPr>
          <w:p>
            <w:r>
              <w:t>62.72%</w:t>
            </w:r>
          </w:p>
        </w:tc>
        <w:tc>
          <w:tcPr>
            <w:tcW w:type="dxa" w:w="2484"/>
          </w:tcPr>
          <w:p>
            <w:r>
              <w:t>0.626</w:t>
            </w:r>
          </w:p>
        </w:tc>
        <w:tc>
          <w:tcPr>
            <w:tcW w:type="dxa" w:w="2484"/>
          </w:tcPr>
          <w:p>
            <w:r>
              <w:t>0.626</w:t>
            </w:r>
          </w:p>
        </w:tc>
      </w:tr>
    </w:tbl>
    <w:p/>
    <w:p>
      <w:pPr>
        <w:pStyle w:val="Heading2"/>
      </w:pPr>
      <w:r>
        <w:t>Train/test scores for base candidates</w:t>
      </w:r>
    </w:p>
    <w:p>
      <w:r>
        <w:t>Each candidate was fitted on train and scored on train/test. Training scores are in-sample and may be optimistic. This multi-model test comparison is retrospective; validation should be used for model selection.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8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1987"/>
            <w:shd w:fill="1F4E78"/>
          </w:tcPr>
          <w:p>
            <w:r>
              <w:rPr>
                <w:b/>
                <w:color w:val="FFFFFF"/>
              </w:rPr>
              <w:t>Train accuracy</w:t>
            </w:r>
          </w:p>
        </w:tc>
        <w:tc>
          <w:tcPr>
            <w:tcW w:type="dxa" w:w="1987"/>
            <w:shd w:fill="1F4E78"/>
          </w:tcPr>
          <w:p>
            <w:r>
              <w:rPr>
                <w:b/>
                <w:color w:val="FFFFFF"/>
              </w:rPr>
              <w:t>Train macro-F1</w:t>
            </w:r>
          </w:p>
        </w:tc>
        <w:tc>
          <w:tcPr>
            <w:tcW w:type="dxa" w:w="1987"/>
            <w:shd w:fill="1F4E78"/>
          </w:tcPr>
          <w:p>
            <w:r>
              <w:rPr>
                <w:b/>
                <w:color w:val="FFFFFF"/>
              </w:rPr>
              <w:t>Test accuracy</w:t>
            </w:r>
          </w:p>
        </w:tc>
        <w:tc>
          <w:tcPr>
            <w:tcW w:type="dxa" w:w="1987"/>
            <w:shd w:fill="1F4E78"/>
          </w:tcPr>
          <w:p>
            <w:r>
              <w:rPr>
                <w:b/>
                <w:color w:val="FFFFFF"/>
              </w:rPr>
              <w:t>Test macro-F1</w:t>
            </w:r>
          </w:p>
        </w:tc>
      </w:tr>
      <w:tr>
        <w:tc>
          <w:tcPr>
            <w:tcW w:type="dxa" w:w="1987"/>
          </w:tcPr>
          <w:p>
            <w:r>
              <w:t>Logistic Regression</w:t>
            </w:r>
          </w:p>
        </w:tc>
        <w:tc>
          <w:tcPr>
            <w:tcW w:type="dxa" w:w="1987"/>
          </w:tcPr>
          <w:p>
            <w:r>
              <w:t>70.12%</w:t>
            </w:r>
          </w:p>
        </w:tc>
        <w:tc>
          <w:tcPr>
            <w:tcW w:type="dxa" w:w="1987"/>
          </w:tcPr>
          <w:p>
            <w:r>
              <w:t>0.701</w:t>
            </w:r>
          </w:p>
        </w:tc>
        <w:tc>
          <w:tcPr>
            <w:tcW w:type="dxa" w:w="1987"/>
          </w:tcPr>
          <w:p>
            <w:r>
              <w:t>69.50%</w:t>
            </w:r>
          </w:p>
        </w:tc>
        <w:tc>
          <w:tcPr>
            <w:tcW w:type="dxa" w:w="1987"/>
          </w:tcPr>
          <w:p>
            <w:r>
              <w:t>0.696</w:t>
            </w:r>
          </w:p>
        </w:tc>
      </w:tr>
      <w:tr>
        <w:tc>
          <w:tcPr>
            <w:tcW w:type="dxa" w:w="1987"/>
          </w:tcPr>
          <w:p>
            <w:r>
              <w:t>Decision Tree</w:t>
            </w:r>
          </w:p>
        </w:tc>
        <w:tc>
          <w:tcPr>
            <w:tcW w:type="dxa" w:w="1987"/>
          </w:tcPr>
          <w:p>
            <w:r>
              <w:t>100.00%</w:t>
            </w:r>
          </w:p>
        </w:tc>
        <w:tc>
          <w:tcPr>
            <w:tcW w:type="dxa" w:w="1987"/>
          </w:tcPr>
          <w:p>
            <w:r>
              <w:t>1.000</w:t>
            </w:r>
          </w:p>
        </w:tc>
        <w:tc>
          <w:tcPr>
            <w:tcW w:type="dxa" w:w="1987"/>
          </w:tcPr>
          <w:p>
            <w:r>
              <w:t>62.87%</w:t>
            </w:r>
          </w:p>
        </w:tc>
        <w:tc>
          <w:tcPr>
            <w:tcW w:type="dxa" w:w="1987"/>
          </w:tcPr>
          <w:p>
            <w:r>
              <w:t>0.629</w:t>
            </w:r>
          </w:p>
        </w:tc>
      </w:tr>
      <w:tr>
        <w:tc>
          <w:tcPr>
            <w:tcW w:type="dxa" w:w="1987"/>
          </w:tcPr>
          <w:p>
            <w:r>
              <w:t>Random Forest</w:t>
            </w:r>
          </w:p>
        </w:tc>
        <w:tc>
          <w:tcPr>
            <w:tcW w:type="dxa" w:w="1987"/>
          </w:tcPr>
          <w:p>
            <w:r>
              <w:t>97.80%</w:t>
            </w:r>
          </w:p>
        </w:tc>
        <w:tc>
          <w:tcPr>
            <w:tcW w:type="dxa" w:w="1987"/>
          </w:tcPr>
          <w:p>
            <w:r>
              <w:t>0.978</w:t>
            </w:r>
          </w:p>
        </w:tc>
        <w:tc>
          <w:tcPr>
            <w:tcW w:type="dxa" w:w="1987"/>
          </w:tcPr>
          <w:p>
            <w:r>
              <w:t>72.62%</w:t>
            </w:r>
          </w:p>
        </w:tc>
        <w:tc>
          <w:tcPr>
            <w:tcW w:type="dxa" w:w="1987"/>
          </w:tcPr>
          <w:p>
            <w:r>
              <w:t>0.730</w:t>
            </w:r>
          </w:p>
        </w:tc>
      </w:tr>
      <w:tr>
        <w:tc>
          <w:tcPr>
            <w:tcW w:type="dxa" w:w="1987"/>
          </w:tcPr>
          <w:p>
            <w:r>
              <w:t>Extra Trees</w:t>
            </w:r>
          </w:p>
        </w:tc>
        <w:tc>
          <w:tcPr>
            <w:tcW w:type="dxa" w:w="1987"/>
          </w:tcPr>
          <w:p>
            <w:r>
              <w:t>96.75%</w:t>
            </w:r>
          </w:p>
        </w:tc>
        <w:tc>
          <w:tcPr>
            <w:tcW w:type="dxa" w:w="1987"/>
          </w:tcPr>
          <w:p>
            <w:r>
              <w:t>0.968</w:t>
            </w:r>
          </w:p>
        </w:tc>
        <w:tc>
          <w:tcPr>
            <w:tcW w:type="dxa" w:w="1987"/>
          </w:tcPr>
          <w:p>
            <w:r>
              <w:t>73.27%</w:t>
            </w:r>
          </w:p>
        </w:tc>
        <w:tc>
          <w:tcPr>
            <w:tcW w:type="dxa" w:w="1987"/>
          </w:tcPr>
          <w:p>
            <w:r>
              <w:t>0.736</w:t>
            </w:r>
          </w:p>
        </w:tc>
      </w:tr>
      <w:tr>
        <w:tc>
          <w:tcPr>
            <w:tcW w:type="dxa" w:w="1987"/>
          </w:tcPr>
          <w:p>
            <w:r>
              <w:t>Xgboost</w:t>
            </w:r>
          </w:p>
        </w:tc>
        <w:tc>
          <w:tcPr>
            <w:tcW w:type="dxa" w:w="1987"/>
          </w:tcPr>
          <w:p>
            <w:r>
              <w:t>79.50%</w:t>
            </w:r>
          </w:p>
        </w:tc>
        <w:tc>
          <w:tcPr>
            <w:tcW w:type="dxa" w:w="1987"/>
          </w:tcPr>
          <w:p>
            <w:r>
              <w:t>0.798</w:t>
            </w:r>
          </w:p>
        </w:tc>
        <w:tc>
          <w:tcPr>
            <w:tcW w:type="dxa" w:w="1987"/>
          </w:tcPr>
          <w:p>
            <w:r>
              <w:t>73.13%</w:t>
            </w:r>
          </w:p>
        </w:tc>
        <w:tc>
          <w:tcPr>
            <w:tcW w:type="dxa" w:w="1987"/>
          </w:tcPr>
          <w:p>
            <w:r>
              <w:t>0.735</w:t>
            </w:r>
          </w:p>
        </w:tc>
      </w:tr>
    </w:tbl>
    <w:p/>
    <w:p>
      <w:pPr>
        <w:pStyle w:val="Heading2"/>
      </w:pPr>
      <w:r>
        <w:t>Selected tuned model</w:t>
      </w:r>
    </w:p>
    <w:p>
      <w:r>
        <w:t>Selected on validation: Xgboost. A small three-fold GridSearchCV macro-F1 search was run on training members only before one evaluation on the held-out test partition.</w:t>
      </w:r>
    </w:p>
    <w:p>
      <w:r>
        <w:t>Selected parameters: estimator__colsample_bytree=0.8, estimator__learning_rate=0.05, estimator__max_depth=3, estimator__n_estimators=200, estimator__subsample=0.8.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Tuned model test metric</w:t>
            </w:r>
          </w:p>
        </w:tc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Score</w:t>
            </w:r>
          </w:p>
        </w:tc>
      </w:tr>
      <w:tr>
        <w:tc>
          <w:tcPr>
            <w:tcW w:type="dxa" w:w="4968"/>
          </w:tcPr>
          <w:p>
            <w:r>
              <w:t>Accuracy</w:t>
            </w:r>
          </w:p>
        </w:tc>
        <w:tc>
          <w:tcPr>
            <w:tcW w:type="dxa" w:w="4968"/>
          </w:tcPr>
          <w:p>
            <w:r>
              <w:t>73.51%</w:t>
            </w:r>
          </w:p>
        </w:tc>
      </w:tr>
      <w:tr>
        <w:tc>
          <w:tcPr>
            <w:tcW w:type="dxa" w:w="4968"/>
          </w:tcPr>
          <w:p>
            <w:r>
              <w:t>Macro-F1</w:t>
            </w:r>
          </w:p>
        </w:tc>
        <w:tc>
          <w:tcPr>
            <w:tcW w:type="dxa" w:w="4968"/>
          </w:tcPr>
          <w:p>
            <w:r>
              <w:t>0.739</w:t>
            </w:r>
          </w:p>
        </w:tc>
      </w:tr>
      <w:tr>
        <w:tc>
          <w:tcPr>
            <w:tcW w:type="dxa" w:w="4968"/>
          </w:tcPr>
          <w:p>
            <w:r>
              <w:t>Weighted-F1</w:t>
            </w:r>
          </w:p>
        </w:tc>
        <w:tc>
          <w:tcPr>
            <w:tcW w:type="dxa" w:w="4968"/>
          </w:tcPr>
          <w:p>
            <w:r>
              <w:t>0.738</w:t>
            </w:r>
          </w:p>
        </w:tc>
      </w:tr>
    </w:tbl>
    <w:p/>
    <w:p>
      <w:pPr>
        <w:pStyle w:val="Heading1"/>
      </w:pPr>
      <w:r>
        <w:t>Recommendations and limitations</w:t>
      </w:r>
    </w:p>
    <w:p>
      <w:pPr>
        <w:pStyle w:val="ListBullet"/>
      </w:pPr>
      <w:r>
        <w:t>For insurance risk use, replace the proxy with an agreed claims-based outcome over a fixed horizon.</w:t>
      </w:r>
    </w:p>
    <w:p>
      <w:pPr>
        <w:pStyle w:val="ListBullet"/>
      </w:pPr>
      <w:r>
        <w:t>Validate on temporal and external data; review class performance, calibration, fairness, and governance before operational use.</w:t>
      </w:r>
    </w:p>
    <w:p>
      <w:pPr>
        <w:pStyle w:val="ListBullet"/>
      </w:pPr>
      <w:r>
        <w:t>The default Decision Tree has a substantial train/test gap, indicating overfitting; regularization matters.</w:t>
      </w:r>
    </w:p>
    <w:p>
      <w:pPr>
        <w:pStyle w:val="ListBullet"/>
      </w:pPr>
      <w:r>
        <w:t>Select models on validation and preserve the test partition for a final estimate.</w:t>
      </w:r>
    </w:p>
    <w:p>
      <w:pPr>
        <w:pStyle w:val="Heading1"/>
      </w:pPr>
      <w:r>
        <w:t>Key artifacts</w:t>
      </w:r>
    </w:p>
    <w:p>
      <w:pPr>
        <w:pStyle w:val="ListBullet"/>
      </w:pPr>
      <w:r>
        <w:t>reports/eda_report.md and dataset inventory/missingness CSVs</w:t>
      </w:r>
    </w:p>
    <w:p>
      <w:pPr>
        <w:pStyle w:val="ListBullet"/>
      </w:pPr>
      <w:r>
        <w:t>outputs/splits/ ? member train, validation, test, and production data</w:t>
      </w:r>
    </w:p>
    <w:p>
      <w:pPr>
        <w:pStyle w:val="ListBullet"/>
      </w:pPr>
      <w:r>
        <w:t>outputs/evaluation/ ? comparison, test metrics, report, confusion matrix</w:t>
      </w:r>
    </w:p>
    <w:p>
      <w:pPr>
        <w:pStyle w:val="ListBullet"/>
      </w:pPr>
      <w:r>
        <w:t>outputs/model/best_model.joblib and model_metadata.json</w:t>
      </w:r>
    </w:p>
    <w:p>
      <w:pPr>
        <w:pStyle w:val="ListBullet"/>
      </w:pPr>
      <w:r>
        <w:t>outputs/predictions/production_predictions.csv</w:t>
      </w:r>
    </w:p>
    <w:p>
      <w:pPr>
        <w:pStyle w:val="ListBullet"/>
      </w:pPr>
      <w:r>
        <w:t>notebooks/health_insurance_utilization_risk.ipynb ? consolidated notebook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Health Insurance Member Utilization Risk | Project Observations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