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0308ED">
      <w:pPr>
        <w:pStyle w:val="Heading1"/>
      </w:pPr>
      <w:bookmarkStart w:id="0" w:name="_GoBack"/>
      <w:bookmarkEnd w:id="0"/>
      <w:r>
        <w:t>Brown Glacier Data Report</w:t>
      </w:r>
    </w:p>
    <w:p w:rsidR="00000000" w:rsidRDefault="000308ED"/>
    <w:p w:rsidR="00000000" w:rsidRDefault="000308ED">
      <w:pPr>
        <w:pStyle w:val="Heading2"/>
      </w:pPr>
      <w:r>
        <w:t>GPS measurements</w:t>
      </w:r>
    </w:p>
    <w:p w:rsidR="00000000" w:rsidRDefault="000308ED"/>
    <w:p w:rsidR="00000000" w:rsidRDefault="000308ED">
      <w:r>
        <w:t>All the surveying in the 2000 field season was done with GPS methods. A temporary base station was set up on an obvious isolated rock just east of the location of the temporary hut. The base station was marked w</w:t>
      </w:r>
      <w:r>
        <w:t>ith a chiseled and painted cross and a rock cairn. Leica Geosystems ® receivers were used in the field and Ski Pro 1.1 ® software to reduce the data. The base station’s location was calculated by solving the baseline to the summer station at Atlas Cove, wh</w:t>
      </w:r>
      <w:r>
        <w:t>ich AUSLIG calculated to be at 53</w:t>
      </w:r>
      <w:r>
        <w:sym w:font="Symbol" w:char="F0B0"/>
      </w:r>
      <w:r>
        <w:t xml:space="preserve"> 1’ 7.0222” S, 73</w:t>
      </w:r>
      <w:r>
        <w:sym w:font="Symbol" w:char="F0B0"/>
      </w:r>
      <w:r>
        <w:t xml:space="preserve"> 23’ 36.2753” E, 44.2050 m. Heights are with reference to the WGS84 ellipsoid. Sea level is about 40 m above ellipsoid height at Heard Island. The position of the Brown local base station was at 53</w:t>
      </w:r>
      <w:r>
        <w:sym w:font="Symbol" w:char="F0B0"/>
      </w:r>
      <w:r>
        <w:t xml:space="preserve"> 4’ 50</w:t>
      </w:r>
      <w:r>
        <w:t>.6748” S, 73</w:t>
      </w:r>
      <w:r>
        <w:sym w:font="Symbol" w:char="F0B0"/>
      </w:r>
      <w:r>
        <w:t xml:space="preserve"> 40’ 28.3220” E, 68.1100 m.</w:t>
      </w:r>
    </w:p>
    <w:p w:rsidR="00000000" w:rsidRDefault="000308ED"/>
    <w:p w:rsidR="00000000" w:rsidRDefault="000308ED">
      <w:r>
        <w:tab/>
        <w:t>We ran half hourly fast static sessions at a total of 19 points along a longitudinal and two transverse profiles to determine glacier velocities over two epochs. In addition a GPS station was left on the glacier a</w:t>
      </w:r>
      <w:r>
        <w:t>t marker BG35 and collected data four times a day. We also collected several kinematic profiles, along the lagoon shoreline, the moraines, the glacier terminus and on the glacier itself. All those data were reduced to determine the position in the WGS84 sy</w:t>
      </w:r>
      <w:r>
        <w:t>stem. They were also transformed into UTM Zone 43 (spheroid GRS80) using the coordinate transformation utility in Ski Pro ®, so they could be compared to an existing DEM of Heard Island. The elevation above sea level was obtained by subtracting 40 m off th</w:t>
      </w:r>
      <w:r>
        <w:t>e ellipsoid height; the same procedure was used in the creation of the DEM.</w:t>
      </w:r>
    </w:p>
    <w:p w:rsidR="00000000" w:rsidRDefault="000308ED"/>
    <w:p w:rsidR="00000000" w:rsidRDefault="000308ED">
      <w:pPr>
        <w:pStyle w:val="Heading2"/>
      </w:pPr>
      <w:r>
        <w:t>Glacier velocities</w:t>
      </w:r>
    </w:p>
    <w:p w:rsidR="00000000" w:rsidRDefault="000308ED"/>
    <w:p w:rsidR="00000000" w:rsidRDefault="000308ED">
      <w:r>
        <w:t>Figure 1 shows the velocity vectors obtained at all index sites over two epochs (27/28 October to 7/9 November and 7/9 November to 21/22 November). The index s</w:t>
      </w:r>
      <w:r>
        <w:t>ites were named BG05 at the head of the glacier to BG50 at the terminus and are separated by approximately 500 m. The circles attached to the velocity vectors indicate estimated errors. With the exception of BG20 and BG25, all velocities are equal over the</w:t>
      </w:r>
      <w:r>
        <w:t xml:space="preserve"> two epochs within the estimated error. At BG20 and BG25 flow directions differ in a way that is not within the expected GPS error, but seems unrealistic anyway. The BG05 velocity could be in error by as much as 0.03 m/d, because the pole tilted substantia</w:t>
      </w:r>
      <w:r>
        <w:t>lly.</w:t>
      </w:r>
    </w:p>
    <w:p w:rsidR="00000000" w:rsidRDefault="000308ED"/>
    <w:p w:rsidR="00000000" w:rsidRDefault="000308ED">
      <w:r>
        <w:tab/>
        <w:t>Figure 2 shows the velocity magnitude as a function of distance along an approximate flowline. The measured speeds are the same within the margin of error over the two epochs. There are no indications of a speed up as spring approaches. On the other</w:t>
      </w:r>
      <w:r>
        <w:t xml:space="preserve"> hand, the first signs of widespread melting did not occur during these observation periods.</w:t>
      </w:r>
    </w:p>
    <w:p w:rsidR="00000000" w:rsidRDefault="000308ED"/>
    <w:p w:rsidR="00000000" w:rsidRDefault="000308ED">
      <w:r>
        <w:tab/>
        <w:t>Two transverse profiles were measured, one at BG35 and one at BG40. Their purpose was to get a better estimate of the total ice flux near the equilibrium line, w</w:t>
      </w:r>
      <w:r>
        <w:t xml:space="preserve">hich we judged to be near BG40. The BG35 profile was chosen because it was less crevassed and easier to work at. The transverse profiles show that the fastest moving ice is somewhat to the East of the chosen index sites. The radar surveys discussed </w:t>
      </w:r>
      <w:r>
        <w:lastRenderedPageBreak/>
        <w:t>below a</w:t>
      </w:r>
      <w:r>
        <w:t>lso show that the deepest part of the channel is situated to the East of the BG35 index site.</w:t>
      </w:r>
    </w:p>
    <w:p w:rsidR="00000000" w:rsidRDefault="000308ED"/>
    <w:p w:rsidR="00000000" w:rsidRDefault="000308ED">
      <w:r>
        <w:rPr>
          <w:noProof/>
          <w:lang w:val="en-AU" w:eastAsia="en-AU"/>
        </w:rPr>
        <w:drawing>
          <wp:inline distT="0" distB="0" distL="0" distR="0">
            <wp:extent cx="5486400" cy="4122420"/>
            <wp:effectExtent l="0" t="0" r="0" b="0"/>
            <wp:docPr id="1" name="Picture 1" descr="velocities.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ocities.ep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0" cy="4122420"/>
                    </a:xfrm>
                    <a:prstGeom prst="rect">
                      <a:avLst/>
                    </a:prstGeom>
                    <a:noFill/>
                    <a:ln>
                      <a:noFill/>
                    </a:ln>
                  </pic:spPr>
                </pic:pic>
              </a:graphicData>
            </a:graphic>
          </wp:inline>
        </w:drawing>
      </w:r>
    </w:p>
    <w:p w:rsidR="00000000" w:rsidRDefault="000308ED">
      <w:r>
        <w:t xml:space="preserve">Figure 1: </w:t>
      </w:r>
      <w:r>
        <w:rPr>
          <w:i/>
          <w:iCs/>
        </w:rPr>
        <w:t>Velocity vectors from two epochs for all index sites. The circle on the right indicates the position of the GPS base station. Circles at the end of t</w:t>
      </w:r>
      <w:r>
        <w:rPr>
          <w:i/>
          <w:iCs/>
        </w:rPr>
        <w:t>he velocity vectors indicate estimated errors.</w:t>
      </w:r>
    </w:p>
    <w:p w:rsidR="00000000" w:rsidRDefault="000308ED">
      <w:r>
        <w:t xml:space="preserve"> </w:t>
      </w:r>
    </w:p>
    <w:p w:rsidR="00000000" w:rsidRDefault="000308ED">
      <w:r>
        <w:tab/>
        <w:t>One GPS station was left near the BG35 index site to record data four times daily. There are substantial data gaps due to power supply problems. The calculated velocity is shown in Figure 4. It has a relati</w:t>
      </w:r>
      <w:r>
        <w:t xml:space="preserve">vely large error because of the short times between most observations. The velocity is constant within the error margins and does not show any diurnal variations, or a consistent increase with time. The average horizontal velocity </w:t>
      </w:r>
      <w:r>
        <w:rPr>
          <w:position w:val="-12"/>
        </w:rPr>
        <w:object w:dxaOrig="4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8pt;height:18pt" o:ole="">
            <v:imagedata r:id="rId5" o:title=""/>
          </v:shape>
          <o:OLEObject Type="Embed" ProgID="Equation.3" ShapeID="_x0000_i1026" DrawAspect="Content" ObjectID="_1669208353" r:id="rId6"/>
        </w:object>
      </w:r>
      <w:r>
        <w:t>wa</w:t>
      </w:r>
      <w:r>
        <w:t xml:space="preserve">s 0.117 m/d, in good agreement with the velocity shown in Figure 2. </w:t>
      </w:r>
    </w:p>
    <w:p w:rsidR="00000000" w:rsidRDefault="000308ED"/>
    <w:p w:rsidR="00000000" w:rsidRDefault="000308ED">
      <w:pPr>
        <w:pStyle w:val="Heading2"/>
        <w:rPr>
          <w:u w:val="none"/>
        </w:rPr>
      </w:pPr>
      <w:r>
        <w:t>Vertical velocity</w:t>
      </w:r>
    </w:p>
    <w:p w:rsidR="00000000" w:rsidRDefault="000308ED"/>
    <w:p w:rsidR="00000000" w:rsidRDefault="000308ED">
      <w:r>
        <w:t xml:space="preserve">The vertical velocity </w:t>
      </w:r>
      <w:r>
        <w:rPr>
          <w:position w:val="-12"/>
        </w:rPr>
        <w:object w:dxaOrig="420" w:dyaOrig="360">
          <v:shape id="_x0000_i1027" type="#_x0000_t75" style="width:21pt;height:18pt" o:ole="">
            <v:imagedata r:id="rId7" o:title=""/>
          </v:shape>
          <o:OLEObject Type="Embed" ProgID="Equation.3" ShapeID="_x0000_i1027" DrawAspect="Content" ObjectID="_1669208354" r:id="rId8"/>
        </w:object>
      </w:r>
      <w:r>
        <w:t xml:space="preserve"> can be divided into several components. It is useful to remove the component due to the downslope movement. This leads to</w:t>
      </w:r>
      <w:r>
        <w:t xml:space="preserve"> the emergence velocity (Paterson, 1994):</w:t>
      </w:r>
    </w:p>
    <w:p w:rsidR="00000000" w:rsidRDefault="000308ED">
      <w:pPr>
        <w:ind w:firstLine="720"/>
      </w:pPr>
      <w:r>
        <w:tab/>
      </w:r>
      <w:r>
        <w:tab/>
      </w:r>
      <w:r>
        <w:rPr>
          <w:position w:val="-14"/>
        </w:rPr>
        <w:object w:dxaOrig="2380" w:dyaOrig="380">
          <v:shape id="_x0000_i1028" type="#_x0000_t75" style="width:118.8pt;height:19.2pt" o:ole="">
            <v:imagedata r:id="rId9" o:title=""/>
          </v:shape>
          <o:OLEObject Type="Embed" ProgID="Equation.3" ShapeID="_x0000_i1028" DrawAspect="Content" ObjectID="_1669208355" r:id="rId10"/>
        </w:object>
      </w:r>
    </w:p>
    <w:p w:rsidR="00000000" w:rsidRDefault="000308ED">
      <w:r>
        <w:t xml:space="preserve">where </w:t>
      </w:r>
      <w:r>
        <w:sym w:font="Symbol" w:char="F061"/>
      </w:r>
      <w:r>
        <w:t xml:space="preserve"> is the local surface slope, and </w:t>
      </w:r>
      <w:r>
        <w:rPr>
          <w:position w:val="-12"/>
        </w:rPr>
        <w:object w:dxaOrig="400" w:dyaOrig="360">
          <v:shape id="_x0000_i1029" type="#_x0000_t75" style="width:19.8pt;height:18pt" o:ole="">
            <v:imagedata r:id="rId11" o:title=""/>
          </v:shape>
          <o:OLEObject Type="Embed" ProgID="Equation.3" ShapeID="_x0000_i1029" DrawAspect="Content" ObjectID="_1669208356" r:id="rId12"/>
        </w:object>
      </w:r>
      <w:r>
        <w:t xml:space="preserve">the horizontal velocity. If it is assumed that </w:t>
      </w:r>
    </w:p>
    <w:p w:rsidR="00000000" w:rsidRDefault="000308ED"/>
    <w:p w:rsidR="00000000" w:rsidRDefault="000308ED"/>
    <w:p w:rsidR="00000000" w:rsidRDefault="000308ED">
      <w:r>
        <w:t xml:space="preserve">The average vertical velocity </w:t>
      </w:r>
      <w:r>
        <w:rPr>
          <w:position w:val="-12"/>
        </w:rPr>
        <w:object w:dxaOrig="420" w:dyaOrig="360">
          <v:shape id="_x0000_i1030" type="#_x0000_t75" style="width:21pt;height:18pt" o:ole="">
            <v:imagedata r:id="rId7" o:title=""/>
          </v:shape>
          <o:OLEObject Type="Embed" ProgID="Equation.3" ShapeID="_x0000_i1030" DrawAspect="Content" ObjectID="_1669208357" r:id="rId13"/>
        </w:object>
      </w:r>
      <w:r>
        <w:t xml:space="preserve"> was –0.049 m/d. This </w:t>
      </w:r>
      <w:r>
        <w:t>can be corrected by taking into account the surface parallel downslope movement to obtain the emergence velocity</w:t>
      </w:r>
    </w:p>
    <w:p w:rsidR="00000000" w:rsidRDefault="000308ED">
      <w:r>
        <w:t xml:space="preserve">where </w:t>
      </w:r>
      <w:r>
        <w:sym w:font="Symbol" w:char="F061"/>
      </w:r>
      <w:r>
        <w:t xml:space="preserve"> is the local surface slope, which was measured to be about 11</w:t>
      </w:r>
      <w:r>
        <w:sym w:font="Symbol" w:char="F0B0"/>
      </w:r>
      <w:r>
        <w:t>. Allowing for an error in surface slope of 2</w:t>
      </w:r>
      <w:r>
        <w:sym w:font="Symbol" w:char="F0B0"/>
      </w:r>
      <w:r>
        <w:t xml:space="preserve">, an emergence velocity of </w:t>
      </w:r>
      <w:r>
        <w:t xml:space="preserve">–0.026 </w:t>
      </w:r>
      <w:r>
        <w:sym w:font="Symbol" w:char="F0B1"/>
      </w:r>
      <w:r>
        <w:t xml:space="preserve"> 0.004 m/d or 9.5 </w:t>
      </w:r>
      <w:r>
        <w:sym w:font="Symbol" w:char="F0B1"/>
      </w:r>
      <w:r>
        <w:t xml:space="preserve"> 1.5 m/a results. The emergence velocity is the combined effect of mass balance </w:t>
      </w:r>
      <w:r>
        <w:rPr>
          <w:position w:val="-6"/>
        </w:rPr>
        <w:object w:dxaOrig="200" w:dyaOrig="440">
          <v:shape id="_x0000_i1031" type="#_x0000_t75" style="width:10.2pt;height:22.2pt" o:ole="">
            <v:imagedata r:id="rId14" o:title=""/>
          </v:shape>
          <o:OLEObject Type="Embed" ProgID="Equation.3" ShapeID="_x0000_i1031" DrawAspect="Content" ObjectID="_1669208358" r:id="rId15"/>
        </w:object>
      </w:r>
      <w:r>
        <w:t xml:space="preserve"> (positive mass balance leads to negative emergence velocity) and surface changes </w:t>
      </w:r>
      <w:r>
        <w:rPr>
          <w:position w:val="-6"/>
        </w:rPr>
        <w:object w:dxaOrig="660" w:dyaOrig="279">
          <v:shape id="_x0000_i1032" type="#_x0000_t75" style="width:33pt;height:13.8pt" o:ole="">
            <v:imagedata r:id="rId16" o:title=""/>
          </v:shape>
          <o:OLEObject Type="Embed" ProgID="Equation.3" ShapeID="_x0000_i1032" DrawAspect="Content" ObjectID="_1669208359" r:id="rId17"/>
        </w:object>
      </w:r>
      <w:r>
        <w:t>:</w:t>
      </w:r>
    </w:p>
    <w:p w:rsidR="00000000" w:rsidRDefault="000308ED">
      <w:r>
        <w:tab/>
      </w:r>
      <w:r>
        <w:rPr>
          <w:position w:val="-14"/>
        </w:rPr>
        <w:object w:dxaOrig="1760" w:dyaOrig="520">
          <v:shape id="_x0000_i1033" type="#_x0000_t75" style="width:88.2pt;height:25.8pt" o:ole="">
            <v:imagedata r:id="rId18" o:title=""/>
          </v:shape>
          <o:OLEObject Type="Embed" ProgID="Equation.3" ShapeID="_x0000_i1033" DrawAspect="Content" ObjectID="_1669208360" r:id="rId19"/>
        </w:object>
      </w:r>
    </w:p>
    <w:p w:rsidR="00000000" w:rsidRDefault="000308ED">
      <w:r>
        <w:t>A snow pit dug on 31 October revealed 0.7 m ice equivalent winter accumulation. There was additional snow fall after that date, but not substantial amounts. This indicates that the surface at BG35 is drawn down by at least 7 m/a, possibly more!</w:t>
      </w:r>
    </w:p>
    <w:p w:rsidR="00000000" w:rsidRDefault="000308ED">
      <w:r>
        <w:rPr>
          <w:noProof/>
          <w:lang w:val="en-AU" w:eastAsia="en-AU"/>
        </w:rPr>
        <w:drawing>
          <wp:inline distT="0" distB="0" distL="0" distR="0">
            <wp:extent cx="5486400" cy="4122420"/>
            <wp:effectExtent l="0" t="0" r="0" b="0"/>
            <wp:docPr id="10" name="Picture 10" descr="longitudinal.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ngitudinal.ep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122420"/>
                    </a:xfrm>
                    <a:prstGeom prst="rect">
                      <a:avLst/>
                    </a:prstGeom>
                    <a:noFill/>
                    <a:ln>
                      <a:noFill/>
                    </a:ln>
                  </pic:spPr>
                </pic:pic>
              </a:graphicData>
            </a:graphic>
          </wp:inline>
        </w:drawing>
      </w:r>
    </w:p>
    <w:p w:rsidR="00000000" w:rsidRDefault="000308ED">
      <w:r>
        <w:t>Fig</w:t>
      </w:r>
      <w:r>
        <w:t xml:space="preserve">ure 2: </w:t>
      </w:r>
      <w:r>
        <w:rPr>
          <w:i/>
          <w:iCs/>
        </w:rPr>
        <w:t>Longitudinal velocity profile. Distance is along an approximate flowline, starting at the highest index sites, about 500 m from the glacier head</w:t>
      </w:r>
      <w:r>
        <w:t xml:space="preserve">. </w:t>
      </w:r>
      <w:r>
        <w:rPr>
          <w:i/>
          <w:iCs/>
        </w:rPr>
        <w:t>The blue line shows velocities over the first epoch, and the green one over the second one.</w:t>
      </w:r>
    </w:p>
    <w:p w:rsidR="00000000" w:rsidRDefault="000308ED"/>
    <w:p w:rsidR="00000000" w:rsidRDefault="000308ED">
      <w:r>
        <w:rPr>
          <w:noProof/>
          <w:lang w:val="en-AU" w:eastAsia="en-AU"/>
        </w:rPr>
        <w:drawing>
          <wp:inline distT="0" distB="0" distL="0" distR="0">
            <wp:extent cx="5486400" cy="4122420"/>
            <wp:effectExtent l="0" t="0" r="0" b="0"/>
            <wp:docPr id="11" name="Picture 11" descr="transverse.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nsverse.ep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122420"/>
                    </a:xfrm>
                    <a:prstGeom prst="rect">
                      <a:avLst/>
                    </a:prstGeom>
                    <a:noFill/>
                    <a:ln>
                      <a:noFill/>
                    </a:ln>
                  </pic:spPr>
                </pic:pic>
              </a:graphicData>
            </a:graphic>
          </wp:inline>
        </w:drawing>
      </w:r>
    </w:p>
    <w:p w:rsidR="00000000" w:rsidRDefault="000308ED">
      <w:r>
        <w:t>Figure 3</w:t>
      </w:r>
      <w:r>
        <w:t xml:space="preserve">: </w:t>
      </w:r>
      <w:r>
        <w:rPr>
          <w:i/>
          <w:iCs/>
        </w:rPr>
        <w:t>Transverse velocity profiles at BG35 (one epoch) and BG40 (two epochs). Distance is in m from the BG35 and BG40 respectively</w:t>
      </w:r>
      <w:r>
        <w:t xml:space="preserve">. </w:t>
      </w:r>
    </w:p>
    <w:p w:rsidR="00000000" w:rsidRDefault="000308ED"/>
    <w:p w:rsidR="00000000" w:rsidRDefault="000308ED"/>
    <w:p w:rsidR="00000000" w:rsidRDefault="000308ED">
      <w:r>
        <w:rPr>
          <w:noProof/>
          <w:lang w:val="en-AU" w:eastAsia="en-AU"/>
        </w:rPr>
        <w:drawing>
          <wp:inline distT="0" distB="0" distL="0" distR="0">
            <wp:extent cx="5486400" cy="5128260"/>
            <wp:effectExtent l="0" t="0" r="0" b="0"/>
            <wp:docPr id="12" name="Object 1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000000" w:rsidRDefault="000308ED">
      <w:r>
        <w:t xml:space="preserve">Figure 4: </w:t>
      </w:r>
      <w:r>
        <w:rPr>
          <w:i/>
          <w:iCs/>
        </w:rPr>
        <w:t>Short term velocities of BG35</w:t>
      </w:r>
      <w:r>
        <w:t xml:space="preserve">. </w:t>
      </w:r>
    </w:p>
    <w:p w:rsidR="00000000" w:rsidRDefault="000308ED"/>
    <w:p w:rsidR="00000000" w:rsidRDefault="000308ED">
      <w:r>
        <w:rPr>
          <w:noProof/>
          <w:lang w:val="en-AU" w:eastAsia="en-AU"/>
        </w:rPr>
        <w:drawing>
          <wp:inline distT="0" distB="0" distL="0" distR="0">
            <wp:extent cx="5585460" cy="5806440"/>
            <wp:effectExtent l="0" t="0" r="0" b="0"/>
            <wp:docPr id="13" name="Object 1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000000" w:rsidRDefault="000308ED">
      <w:r>
        <w:t xml:space="preserve">Figure 5: </w:t>
      </w:r>
      <w:r>
        <w:rPr>
          <w:i/>
          <w:iCs/>
        </w:rPr>
        <w:t>Vertical posit</w:t>
      </w:r>
      <w:r>
        <w:rPr>
          <w:i/>
          <w:iCs/>
        </w:rPr>
        <w:t>ion of BG35 marker.</w:t>
      </w:r>
    </w:p>
    <w:p w:rsidR="00000000" w:rsidRDefault="000308ED"/>
    <w:p w:rsidR="00000000" w:rsidRDefault="000308ED">
      <w:r>
        <w:rPr>
          <w:noProof/>
          <w:lang w:val="en-AU" w:eastAsia="en-AU"/>
        </w:rPr>
        <w:drawing>
          <wp:inline distT="0" distB="0" distL="0" distR="0">
            <wp:extent cx="5943600" cy="4777740"/>
            <wp:effectExtent l="0" t="0" r="0" b="0"/>
            <wp:docPr id="14" name="Object 1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000000" w:rsidRDefault="000308ED">
      <w:r>
        <w:t xml:space="preserve">Figure 6: </w:t>
      </w:r>
      <w:r>
        <w:rPr>
          <w:i/>
          <w:iCs/>
        </w:rPr>
        <w:t xml:space="preserve"> Emergence velocity for markers at the index sites.</w:t>
      </w:r>
    </w:p>
    <w:p w:rsidR="00000000" w:rsidRDefault="000308ED"/>
    <w:p w:rsidR="00000000" w:rsidRDefault="000308ED"/>
    <w:p w:rsidR="00000000" w:rsidRDefault="000308ED"/>
    <w:sectPr w:rsidR="00000000">
      <w:pgSz w:w="11909" w:h="16834"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8ED"/>
    <w:rsid w:val="000308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170E0797-21FE-45B0-BB70-D34BC6DC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outlineLvl w:val="1"/>
    </w:pPr>
    <w:rPr>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0.wmf"/><Relationship Id="rId7" Type="http://schemas.openxmlformats.org/officeDocument/2006/relationships/image" Target="media/image3.wmf"/><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5.wmf"/><Relationship Id="rId24" Type="http://schemas.openxmlformats.org/officeDocument/2006/relationships/chart" Target="charts/chart3.xml"/><Relationship Id="rId5" Type="http://schemas.openxmlformats.org/officeDocument/2006/relationships/image" Target="media/image2.wmf"/><Relationship Id="rId15" Type="http://schemas.openxmlformats.org/officeDocument/2006/relationships/oleObject" Target="embeddings/oleObject6.bin"/><Relationship Id="rId23" Type="http://schemas.openxmlformats.org/officeDocument/2006/relationships/chart" Target="charts/chart2.xml"/><Relationship Id="rId10" Type="http://schemas.openxmlformats.org/officeDocument/2006/relationships/oleObject" Target="embeddings/oleObject3.bin"/><Relationship Id="rId19" Type="http://schemas.openxmlformats.org/officeDocument/2006/relationships/oleObject" Target="embeddings/oleObject8.bin"/><Relationship Id="rId4" Type="http://schemas.openxmlformats.org/officeDocument/2006/relationships/image" Target="media/image1.wmf"/><Relationship Id="rId9" Type="http://schemas.openxmlformats.org/officeDocument/2006/relationships/image" Target="media/image4.wmf"/><Relationship Id="rId14" Type="http://schemas.openxmlformats.org/officeDocument/2006/relationships/image" Target="media/image6.wmf"/><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7349823321554768"/>
          <c:y val="2.0833333333333332E-2"/>
        </c:manualLayout>
      </c:layout>
      <c:overlay val="0"/>
      <c:spPr>
        <a:noFill/>
        <a:ln w="25400">
          <a:noFill/>
        </a:ln>
      </c:spPr>
      <c:txPr>
        <a:bodyPr/>
        <a:lstStyle/>
        <a:p>
          <a:pPr>
            <a:defRPr sz="800" b="0" i="0" u="none" strike="noStrike" baseline="0">
              <a:solidFill>
                <a:srgbClr val="000000"/>
              </a:solidFill>
              <a:latin typeface="Arial"/>
              <a:ea typeface="Arial"/>
              <a:cs typeface="Arial"/>
            </a:defRPr>
          </a:pPr>
          <a:endParaRPr lang="en-US"/>
        </a:p>
      </c:txPr>
    </c:title>
    <c:autoTitleDeleted val="0"/>
    <c:plotArea>
      <c:layout>
        <c:manualLayout>
          <c:layoutTarget val="inner"/>
          <c:xMode val="edge"/>
          <c:yMode val="edge"/>
          <c:x val="0.13074204946996468"/>
          <c:y val="0.11931818181818182"/>
          <c:w val="0.81978798586572443"/>
          <c:h val="0.80303030303030298"/>
        </c:manualLayout>
      </c:layout>
      <c:scatterChart>
        <c:scatterStyle val="lineMarker"/>
        <c:varyColors val="0"/>
        <c:ser>
          <c:idx val="0"/>
          <c:order val="0"/>
          <c:tx>
            <c:v>BG35</c:v>
          </c:tx>
          <c:spPr>
            <a:ln w="38100">
              <a:solidFill>
                <a:srgbClr val="000080"/>
              </a:solidFill>
              <a:prstDash val="solid"/>
            </a:ln>
          </c:spPr>
          <c:marker>
            <c:symbol val="none"/>
          </c:marker>
          <c:errBars>
            <c:errDir val="y"/>
            <c:errBarType val="both"/>
            <c:errValType val="cust"/>
            <c:noEndCap val="0"/>
            <c:plus>
              <c:numRef>
                <c:f>daily!$Y:$Y</c:f>
                <c:numCache>
                  <c:formatCode>General</c:formatCode>
                  <c:ptCount val="65536"/>
                  <c:pt idx="3">
                    <c:v>8.4852813742056402E-2</c:v>
                  </c:pt>
                  <c:pt idx="5">
                    <c:v>8.4852813742056402E-2</c:v>
                  </c:pt>
                  <c:pt idx="7">
                    <c:v>8.4852813742056402E-2</c:v>
                  </c:pt>
                  <c:pt idx="9">
                    <c:v>8.4852813742056402E-2</c:v>
                  </c:pt>
                  <c:pt idx="11">
                    <c:v>8.4852813742056402E-2</c:v>
                  </c:pt>
                  <c:pt idx="13">
                    <c:v>8.4852813742056402E-2</c:v>
                  </c:pt>
                  <c:pt idx="15">
                    <c:v>8.4852813742056402E-2</c:v>
                  </c:pt>
                  <c:pt idx="17">
                    <c:v>2.1161768581371379E-2</c:v>
                  </c:pt>
                  <c:pt idx="19">
                    <c:v>8.5685870819464688E-2</c:v>
                  </c:pt>
                  <c:pt idx="21">
                    <c:v>2.1205840296559988E-2</c:v>
                  </c:pt>
                  <c:pt idx="23">
                    <c:v>4.2426406871014503E-2</c:v>
                  </c:pt>
                  <c:pt idx="25">
                    <c:v>8.4970828782031022E-2</c:v>
                  </c:pt>
                  <c:pt idx="27">
                    <c:v>8.4735126066580804E-2</c:v>
                  </c:pt>
                  <c:pt idx="29">
                    <c:v>8.4970828782031049E-2</c:v>
                  </c:pt>
                  <c:pt idx="31">
                    <c:v>8.4852813742056443E-2</c:v>
                  </c:pt>
                  <c:pt idx="33">
                    <c:v>8.4852813742056443E-2</c:v>
                  </c:pt>
                  <c:pt idx="35">
                    <c:v>8.4852813742056443E-2</c:v>
                  </c:pt>
                  <c:pt idx="37">
                    <c:v>8.4852813742056402E-2</c:v>
                  </c:pt>
                  <c:pt idx="39">
                    <c:v>1.8445706921441545E-3</c:v>
                  </c:pt>
                  <c:pt idx="41">
                    <c:v>8.4970828782031008E-2</c:v>
                  </c:pt>
                  <c:pt idx="43">
                    <c:v>8.1968728839395794E-2</c:v>
                  </c:pt>
                  <c:pt idx="45">
                    <c:v>8.7947254166418409E-2</c:v>
                  </c:pt>
                  <c:pt idx="47">
                    <c:v>8.4852813742056443E-2</c:v>
                  </c:pt>
                  <c:pt idx="49">
                    <c:v>8.4735126066580804E-2</c:v>
                  </c:pt>
                  <c:pt idx="51">
                    <c:v>8.4970828782031049E-2</c:v>
                  </c:pt>
                  <c:pt idx="53">
                    <c:v>8.4735126066580804E-2</c:v>
                  </c:pt>
                  <c:pt idx="55">
                    <c:v>8.4852813741672292E-2</c:v>
                  </c:pt>
                  <c:pt idx="57">
                    <c:v>8.4970828782031008E-2</c:v>
                  </c:pt>
                  <c:pt idx="59">
                    <c:v>8.4852813742056402E-2</c:v>
                  </c:pt>
                  <c:pt idx="61">
                    <c:v>8.4852813742056443E-2</c:v>
                  </c:pt>
                  <c:pt idx="63">
                    <c:v>8.4852813742056443E-2</c:v>
                  </c:pt>
                  <c:pt idx="65">
                    <c:v>1.6970562748463969E-2</c:v>
                  </c:pt>
                  <c:pt idx="67">
                    <c:v>8.4852813742056402E-2</c:v>
                  </c:pt>
                  <c:pt idx="69">
                    <c:v>8.4852813742056443E-2</c:v>
                  </c:pt>
                </c:numCache>
              </c:numRef>
            </c:plus>
            <c:minus>
              <c:numRef>
                <c:f>daily!$Y:$Y</c:f>
                <c:numCache>
                  <c:formatCode>General</c:formatCode>
                  <c:ptCount val="65536"/>
                  <c:pt idx="3">
                    <c:v>8.4852813742056402E-2</c:v>
                  </c:pt>
                  <c:pt idx="5">
                    <c:v>8.4852813742056402E-2</c:v>
                  </c:pt>
                  <c:pt idx="7">
                    <c:v>8.4852813742056402E-2</c:v>
                  </c:pt>
                  <c:pt idx="9">
                    <c:v>8.4852813742056402E-2</c:v>
                  </c:pt>
                  <c:pt idx="11">
                    <c:v>8.4852813742056402E-2</c:v>
                  </c:pt>
                  <c:pt idx="13">
                    <c:v>8.4852813742056402E-2</c:v>
                  </c:pt>
                  <c:pt idx="15">
                    <c:v>8.4852813742056402E-2</c:v>
                  </c:pt>
                  <c:pt idx="17">
                    <c:v>2.1161768581371379E-2</c:v>
                  </c:pt>
                  <c:pt idx="19">
                    <c:v>8.5685870819464688E-2</c:v>
                  </c:pt>
                  <c:pt idx="21">
                    <c:v>2.1205840296559988E-2</c:v>
                  </c:pt>
                  <c:pt idx="23">
                    <c:v>4.2426406871014503E-2</c:v>
                  </c:pt>
                  <c:pt idx="25">
                    <c:v>8.4970828782031022E-2</c:v>
                  </c:pt>
                  <c:pt idx="27">
                    <c:v>8.4735126066580804E-2</c:v>
                  </c:pt>
                  <c:pt idx="29">
                    <c:v>8.4970828782031049E-2</c:v>
                  </c:pt>
                  <c:pt idx="31">
                    <c:v>8.4852813742056443E-2</c:v>
                  </c:pt>
                  <c:pt idx="33">
                    <c:v>8.4852813742056443E-2</c:v>
                  </c:pt>
                  <c:pt idx="35">
                    <c:v>8.4852813742056443E-2</c:v>
                  </c:pt>
                  <c:pt idx="37">
                    <c:v>8.4852813742056402E-2</c:v>
                  </c:pt>
                  <c:pt idx="39">
                    <c:v>1.8445706921441545E-3</c:v>
                  </c:pt>
                  <c:pt idx="41">
                    <c:v>8.4970828782031008E-2</c:v>
                  </c:pt>
                  <c:pt idx="43">
                    <c:v>8.1968728839395794E-2</c:v>
                  </c:pt>
                  <c:pt idx="45">
                    <c:v>8.7947254166418409E-2</c:v>
                  </c:pt>
                  <c:pt idx="47">
                    <c:v>8.4852813742056443E-2</c:v>
                  </c:pt>
                  <c:pt idx="49">
                    <c:v>8.4735126066580804E-2</c:v>
                  </c:pt>
                  <c:pt idx="51">
                    <c:v>8.4970828782031049E-2</c:v>
                  </c:pt>
                  <c:pt idx="53">
                    <c:v>8.4735126066580804E-2</c:v>
                  </c:pt>
                  <c:pt idx="55">
                    <c:v>8.4852813741672292E-2</c:v>
                  </c:pt>
                  <c:pt idx="57">
                    <c:v>8.4970828782031008E-2</c:v>
                  </c:pt>
                  <c:pt idx="59">
                    <c:v>8.4852813742056402E-2</c:v>
                  </c:pt>
                  <c:pt idx="61">
                    <c:v>8.4852813742056443E-2</c:v>
                  </c:pt>
                  <c:pt idx="63">
                    <c:v>8.4852813742056443E-2</c:v>
                  </c:pt>
                  <c:pt idx="65">
                    <c:v>1.6970562748463969E-2</c:v>
                  </c:pt>
                  <c:pt idx="67">
                    <c:v>8.4852813742056402E-2</c:v>
                  </c:pt>
                  <c:pt idx="69">
                    <c:v>8.4852813742056443E-2</c:v>
                  </c:pt>
                </c:numCache>
              </c:numRef>
            </c:minus>
            <c:spPr>
              <a:ln w="12700">
                <a:solidFill>
                  <a:srgbClr val="000000"/>
                </a:solidFill>
                <a:prstDash val="solid"/>
              </a:ln>
            </c:spPr>
          </c:errBars>
          <c:xVal>
            <c:numRef>
              <c:f>daily!$W:$W</c:f>
              <c:numCache>
                <c:formatCode>General</c:formatCode>
                <c:ptCount val="65536"/>
                <c:pt idx="3" formatCode="m/d/yy\ h:mm">
                  <c:v>36832.792708333334</c:v>
                </c:pt>
                <c:pt idx="4" formatCode="m/d/yy\ h:mm">
                  <c:v>36833.042708333334</c:v>
                </c:pt>
                <c:pt idx="5" formatCode="m/d/yy\ h:mm">
                  <c:v>36833.042708333334</c:v>
                </c:pt>
                <c:pt idx="6" formatCode="m/d/yy\ h:mm">
                  <c:v>36833.292708333334</c:v>
                </c:pt>
                <c:pt idx="7" formatCode="m/d/yy\ h:mm">
                  <c:v>36833.292708333334</c:v>
                </c:pt>
                <c:pt idx="8" formatCode="m/d/yy\ h:mm">
                  <c:v>36833.542708333334</c:v>
                </c:pt>
                <c:pt idx="9" formatCode="m/d/yy\ h:mm">
                  <c:v>36833.542708333334</c:v>
                </c:pt>
                <c:pt idx="10" formatCode="m/d/yy\ h:mm">
                  <c:v>36833.792708333334</c:v>
                </c:pt>
                <c:pt idx="11" formatCode="m/d/yy\ h:mm">
                  <c:v>36833.792708333334</c:v>
                </c:pt>
                <c:pt idx="12" formatCode="m/d/yy\ h:mm">
                  <c:v>36834.042708333334</c:v>
                </c:pt>
                <c:pt idx="13" formatCode="m/d/yy\ h:mm">
                  <c:v>36834.042708333334</c:v>
                </c:pt>
                <c:pt idx="14" formatCode="m/d/yy\ h:mm">
                  <c:v>36834.292708333334</c:v>
                </c:pt>
                <c:pt idx="15" formatCode="m/d/yy\ h:mm">
                  <c:v>36834.292708333334</c:v>
                </c:pt>
                <c:pt idx="16" formatCode="m/d/yy\ h:mm">
                  <c:v>36834.542708333334</c:v>
                </c:pt>
                <c:pt idx="17" formatCode="m/d/yy\ h:mm">
                  <c:v>36834.542708333334</c:v>
                </c:pt>
                <c:pt idx="18" formatCode="m/d/yy\ h:mm">
                  <c:v>36835.545138888891</c:v>
                </c:pt>
                <c:pt idx="19" formatCode="m/d/yy\ h:mm">
                  <c:v>36835.545138888891</c:v>
                </c:pt>
                <c:pt idx="20" formatCode="m/d/yy\ h:mm">
                  <c:v>36835.792708333334</c:v>
                </c:pt>
                <c:pt idx="21" formatCode="m/d/yy\ h:mm">
                  <c:v>36835.792708333334</c:v>
                </c:pt>
                <c:pt idx="22" formatCode="m/d/yy\ h:mm">
                  <c:v>36836.793055555558</c:v>
                </c:pt>
                <c:pt idx="23" formatCode="m/d/yy\ h:mm">
                  <c:v>36836.793055555558</c:v>
                </c:pt>
                <c:pt idx="24" formatCode="m/d/yy\ h:mm">
                  <c:v>36837.293055555558</c:v>
                </c:pt>
                <c:pt idx="25" formatCode="m/d/yy\ h:mm">
                  <c:v>36837.293055555558</c:v>
                </c:pt>
                <c:pt idx="26" formatCode="m/d/yy\ h:mm">
                  <c:v>36837.542708333334</c:v>
                </c:pt>
                <c:pt idx="27" formatCode="m/d/yy\ h:mm">
                  <c:v>36837.542708333334</c:v>
                </c:pt>
                <c:pt idx="28" formatCode="m/d/yy\ h:mm">
                  <c:v>36837.793055555558</c:v>
                </c:pt>
                <c:pt idx="29" formatCode="m/d/yy\ h:mm">
                  <c:v>36837.793055555558</c:v>
                </c:pt>
                <c:pt idx="30" formatCode="m/d/yy\ h:mm">
                  <c:v>36838.042708333334</c:v>
                </c:pt>
                <c:pt idx="31" formatCode="m/d/yy\ h:mm">
                  <c:v>36838.042708333334</c:v>
                </c:pt>
                <c:pt idx="32" formatCode="m/d/yy\ h:mm">
                  <c:v>36838.292708333334</c:v>
                </c:pt>
                <c:pt idx="33" formatCode="m/d/yy\ h:mm">
                  <c:v>36838.292708333334</c:v>
                </c:pt>
                <c:pt idx="34" formatCode="m/d/yy\ h:mm">
                  <c:v>36838.542708333334</c:v>
                </c:pt>
                <c:pt idx="35" formatCode="m/d/yy\ h:mm">
                  <c:v>36838.542708333334</c:v>
                </c:pt>
                <c:pt idx="36" formatCode="m/d/yy\ h:mm">
                  <c:v>36838.792708333334</c:v>
                </c:pt>
                <c:pt idx="37" formatCode="m/d/yy\ h:mm">
                  <c:v>36838.792708333334</c:v>
                </c:pt>
                <c:pt idx="38" formatCode="m/d/yy\ h:mm">
                  <c:v>36839.042708333334</c:v>
                </c:pt>
                <c:pt idx="39" formatCode="m/d/yy\ h:mm">
                  <c:v>36839.042708333334</c:v>
                </c:pt>
                <c:pt idx="40" formatCode="m/d/yy\ h:mm">
                  <c:v>36850.543055555558</c:v>
                </c:pt>
                <c:pt idx="41" formatCode="m/d/yy\ h:mm">
                  <c:v>36850.543055555558</c:v>
                </c:pt>
                <c:pt idx="42" formatCode="m/d/yy\ h:mm">
                  <c:v>36850.792708333334</c:v>
                </c:pt>
                <c:pt idx="43" formatCode="m/d/yy\ h:mm">
                  <c:v>36850.792708333334</c:v>
                </c:pt>
                <c:pt idx="44" formatCode="m/d/yy\ h:mm">
                  <c:v>36851.051504629628</c:v>
                </c:pt>
                <c:pt idx="45" formatCode="m/d/yy\ h:mm">
                  <c:v>36851.051504629628</c:v>
                </c:pt>
                <c:pt idx="46" formatCode="m/d/yy\ h:mm">
                  <c:v>36851.292708333334</c:v>
                </c:pt>
                <c:pt idx="47" formatCode="m/d/yy\ h:mm">
                  <c:v>36851.292708333334</c:v>
                </c:pt>
                <c:pt idx="48" formatCode="m/d/yy\ h:mm">
                  <c:v>36851.542708333334</c:v>
                </c:pt>
                <c:pt idx="49" formatCode="m/d/yy\ h:mm">
                  <c:v>36851.542708333334</c:v>
                </c:pt>
                <c:pt idx="50" formatCode="m/d/yy\ h:mm">
                  <c:v>36851.793055555558</c:v>
                </c:pt>
                <c:pt idx="51" formatCode="m/d/yy\ h:mm">
                  <c:v>36851.793055555558</c:v>
                </c:pt>
                <c:pt idx="52" formatCode="m/d/yy\ h:mm">
                  <c:v>36852.042708333334</c:v>
                </c:pt>
                <c:pt idx="53" formatCode="m/d/yy\ h:mm">
                  <c:v>36852.042708333334</c:v>
                </c:pt>
                <c:pt idx="54" formatCode="m/d/yy\ h:mm">
                  <c:v>36852.293055555558</c:v>
                </c:pt>
                <c:pt idx="55" formatCode="m/d/yy\ h:mm">
                  <c:v>36852.293055555558</c:v>
                </c:pt>
                <c:pt idx="56" formatCode="m/d/yy\ h:mm">
                  <c:v>36852.543055555558</c:v>
                </c:pt>
                <c:pt idx="57" formatCode="m/d/yy\ h:mm">
                  <c:v>36852.543055555558</c:v>
                </c:pt>
                <c:pt idx="58" formatCode="m/d/yy\ h:mm">
                  <c:v>36852.792708333334</c:v>
                </c:pt>
                <c:pt idx="59" formatCode="m/d/yy\ h:mm">
                  <c:v>36852.792708333334</c:v>
                </c:pt>
                <c:pt idx="60" formatCode="m/d/yy\ h:mm">
                  <c:v>36853.042708333334</c:v>
                </c:pt>
                <c:pt idx="61" formatCode="m/d/yy\ h:mm">
                  <c:v>36853.042708333334</c:v>
                </c:pt>
                <c:pt idx="62" formatCode="m/d/yy\ h:mm">
                  <c:v>36853.292708333334</c:v>
                </c:pt>
                <c:pt idx="63" formatCode="m/d/yy\ h:mm">
                  <c:v>36853.292708333334</c:v>
                </c:pt>
                <c:pt idx="64" formatCode="m/d/yy\ h:mm">
                  <c:v>36853.542708333334</c:v>
                </c:pt>
                <c:pt idx="65" formatCode="m/d/yy\ h:mm">
                  <c:v>36853.542708333334</c:v>
                </c:pt>
                <c:pt idx="66" formatCode="m/d/yy\ h:mm">
                  <c:v>36854.792708333334</c:v>
                </c:pt>
                <c:pt idx="67" formatCode="m/d/yy\ h:mm">
                  <c:v>36854.792708333334</c:v>
                </c:pt>
                <c:pt idx="68" formatCode="m/d/yy\ h:mm">
                  <c:v>36855.042708333334</c:v>
                </c:pt>
                <c:pt idx="69" formatCode="m/d/yy\ h:mm">
                  <c:v>36855.042708333334</c:v>
                </c:pt>
                <c:pt idx="70" formatCode="m/d/yy\ h:mm">
                  <c:v>36855.292708333334</c:v>
                </c:pt>
              </c:numCache>
            </c:numRef>
          </c:xVal>
          <c:yVal>
            <c:numRef>
              <c:f>daily!$X:$X</c:f>
              <c:numCache>
                <c:formatCode>General</c:formatCode>
                <c:ptCount val="65536"/>
                <c:pt idx="3" formatCode="0.000">
                  <c:v>8.7856246431933641E-2</c:v>
                </c:pt>
                <c:pt idx="4" formatCode="0.000">
                  <c:v>8.7856246431933641E-2</c:v>
                </c:pt>
                <c:pt idx="5" formatCode="0.000">
                  <c:v>0.10424739795971058</c:v>
                </c:pt>
                <c:pt idx="6" formatCode="0.000">
                  <c:v>0.10424739795971058</c:v>
                </c:pt>
                <c:pt idx="7" formatCode="0.000">
                  <c:v>0.16283095528398497</c:v>
                </c:pt>
                <c:pt idx="8" formatCode="0.000">
                  <c:v>0.16283095528398497</c:v>
                </c:pt>
                <c:pt idx="9" formatCode="0.000">
                  <c:v>0.10329375587248608</c:v>
                </c:pt>
                <c:pt idx="10" formatCode="0.000">
                  <c:v>0.10329375587248608</c:v>
                </c:pt>
                <c:pt idx="11" formatCode="0.000">
                  <c:v>0.1318277669316068</c:v>
                </c:pt>
                <c:pt idx="12" formatCode="0.000">
                  <c:v>0.1318277669316068</c:v>
                </c:pt>
                <c:pt idx="13" formatCode="0.000">
                  <c:v>0.11662589765712639</c:v>
                </c:pt>
                <c:pt idx="14" formatCode="0.000">
                  <c:v>0.11662589765712639</c:v>
                </c:pt>
                <c:pt idx="15" formatCode="0.000">
                  <c:v>0.25196634700759779</c:v>
                </c:pt>
                <c:pt idx="16" formatCode="0.000">
                  <c:v>0.25196634700759779</c:v>
                </c:pt>
                <c:pt idx="17" formatCode="0.000">
                  <c:v>0.10438785823226024</c:v>
                </c:pt>
                <c:pt idx="18" formatCode="0.000">
                  <c:v>0.10438785823226024</c:v>
                </c:pt>
                <c:pt idx="19" formatCode="0.000">
                  <c:v>9.0300964873757147E-2</c:v>
                </c:pt>
                <c:pt idx="20" formatCode="0.000">
                  <c:v>9.0300964873757147E-2</c:v>
                </c:pt>
                <c:pt idx="21" formatCode="0.000">
                  <c:v>0.10734186991873393</c:v>
                </c:pt>
                <c:pt idx="22" formatCode="0.000">
                  <c:v>0.10734186991873393</c:v>
                </c:pt>
                <c:pt idx="23" formatCode="0.000">
                  <c:v>9.3962758546883504E-2</c:v>
                </c:pt>
                <c:pt idx="24" formatCode="0.000">
                  <c:v>9.3962758546883504E-2</c:v>
                </c:pt>
                <c:pt idx="25" formatCode="0.000">
                  <c:v>0.25280911988932636</c:v>
                </c:pt>
                <c:pt idx="26" formatCode="0.000">
                  <c:v>0.25280911988932636</c:v>
                </c:pt>
                <c:pt idx="27" formatCode="0.000">
                  <c:v>0.17474575430057268</c:v>
                </c:pt>
                <c:pt idx="28" formatCode="0.000">
                  <c:v>0.17474575430057268</c:v>
                </c:pt>
                <c:pt idx="29" formatCode="0.000">
                  <c:v>0.17230907155288072</c:v>
                </c:pt>
                <c:pt idx="30" formatCode="0.000">
                  <c:v>0.17230907155288072</c:v>
                </c:pt>
                <c:pt idx="31" formatCode="0.000">
                  <c:v>0.19960040073723231</c:v>
                </c:pt>
                <c:pt idx="32" formatCode="0.000">
                  <c:v>0.19960040073723231</c:v>
                </c:pt>
                <c:pt idx="33" formatCode="0.000">
                  <c:v>0.21106548734109232</c:v>
                </c:pt>
                <c:pt idx="34" formatCode="0.000">
                  <c:v>0.21106548734109232</c:v>
                </c:pt>
                <c:pt idx="35" formatCode="0.000">
                  <c:v>0.29805153933572909</c:v>
                </c:pt>
                <c:pt idx="36" formatCode="0.000">
                  <c:v>0.29805153933572909</c:v>
                </c:pt>
                <c:pt idx="37" formatCode="0.000">
                  <c:v>0.20765548402261932</c:v>
                </c:pt>
                <c:pt idx="38" formatCode="0.000">
                  <c:v>0.20765548402261932</c:v>
                </c:pt>
                <c:pt idx="39" formatCode="0.000">
                  <c:v>0.11794149971261372</c:v>
                </c:pt>
                <c:pt idx="40" formatCode="0.000">
                  <c:v>0.11794149971261372</c:v>
                </c:pt>
                <c:pt idx="41" formatCode="0.000">
                  <c:v>9.3584566447790396E-2</c:v>
                </c:pt>
                <c:pt idx="42" formatCode="0.000">
                  <c:v>9.3584566447790396E-2</c:v>
                </c:pt>
                <c:pt idx="43" formatCode="0.000">
                  <c:v>8.0791769356083759E-2</c:v>
                </c:pt>
                <c:pt idx="44" formatCode="0.000">
                  <c:v>8.0791769356083759E-2</c:v>
                </c:pt>
                <c:pt idx="45" formatCode="0.000">
                  <c:v>0.15405085615798919</c:v>
                </c:pt>
                <c:pt idx="46" formatCode="0.000">
                  <c:v>0.15405085615798919</c:v>
                </c:pt>
                <c:pt idx="47" formatCode="0.000">
                  <c:v>0.16417600300985549</c:v>
                </c:pt>
                <c:pt idx="48" formatCode="0.000">
                  <c:v>0.16417600300985549</c:v>
                </c:pt>
                <c:pt idx="49" formatCode="0.000">
                  <c:v>0.11770831116268647</c:v>
                </c:pt>
                <c:pt idx="50" formatCode="0.000">
                  <c:v>0.11770831116268647</c:v>
                </c:pt>
                <c:pt idx="51" formatCode="0.000">
                  <c:v>0.16022753840583226</c:v>
                </c:pt>
                <c:pt idx="52" formatCode="0.000">
                  <c:v>0.16022753840583226</c:v>
                </c:pt>
                <c:pt idx="53" formatCode="0.000">
                  <c:v>0.15286283534716189</c:v>
                </c:pt>
                <c:pt idx="54" formatCode="0.000">
                  <c:v>0.15286283534716189</c:v>
                </c:pt>
                <c:pt idx="55" formatCode="0.000">
                  <c:v>7.3715127235777153E-2</c:v>
                </c:pt>
                <c:pt idx="56" formatCode="0.000">
                  <c:v>7.3715127235777153E-2</c:v>
                </c:pt>
                <c:pt idx="57" formatCode="0.000">
                  <c:v>8.9202734302089318E-2</c:v>
                </c:pt>
                <c:pt idx="58" formatCode="0.000">
                  <c:v>8.9202734302089318E-2</c:v>
                </c:pt>
                <c:pt idx="59" formatCode="0.000">
                  <c:v>0.17488784965105217</c:v>
                </c:pt>
                <c:pt idx="60" formatCode="0.000">
                  <c:v>0.17488784965105217</c:v>
                </c:pt>
                <c:pt idx="61" formatCode="0.000">
                  <c:v>0.14454673992484462</c:v>
                </c:pt>
                <c:pt idx="62" formatCode="0.000">
                  <c:v>0.14454673992484462</c:v>
                </c:pt>
                <c:pt idx="63" formatCode="0.000">
                  <c:v>0.21880000084553691</c:v>
                </c:pt>
                <c:pt idx="64" formatCode="0.000">
                  <c:v>0.21880000084553691</c:v>
                </c:pt>
                <c:pt idx="65" formatCode="0.000">
                  <c:v>0.12181814641666</c:v>
                </c:pt>
                <c:pt idx="66" formatCode="0.000">
                  <c:v>0.12181814641666</c:v>
                </c:pt>
                <c:pt idx="67" formatCode="0.000">
                  <c:v>2.4298148656651419E-2</c:v>
                </c:pt>
                <c:pt idx="68" formatCode="0.000">
                  <c:v>2.4298148656651419E-2</c:v>
                </c:pt>
                <c:pt idx="69" formatCode="0.000">
                  <c:v>0.26311366408658587</c:v>
                </c:pt>
                <c:pt idx="70" formatCode="0.000">
                  <c:v>0.26311366408658587</c:v>
                </c:pt>
              </c:numCache>
            </c:numRef>
          </c:yVal>
          <c:smooth val="0"/>
          <c:extLst>
            <c:ext xmlns:c16="http://schemas.microsoft.com/office/drawing/2014/chart" uri="{C3380CC4-5D6E-409C-BE32-E72D297353CC}">
              <c16:uniqueId val="{00000000-1124-4C03-8528-590D08F4295A}"/>
            </c:ext>
          </c:extLst>
        </c:ser>
        <c:dLbls>
          <c:showLegendKey val="0"/>
          <c:showVal val="0"/>
          <c:showCatName val="0"/>
          <c:showSerName val="0"/>
          <c:showPercent val="0"/>
          <c:showBubbleSize val="0"/>
        </c:dLbls>
        <c:axId val="226988448"/>
        <c:axId val="1"/>
      </c:scatterChart>
      <c:valAx>
        <c:axId val="226988448"/>
        <c:scaling>
          <c:orientation val="minMax"/>
          <c:max val="36857"/>
          <c:min val="36832"/>
        </c:scaling>
        <c:delete val="0"/>
        <c:axPos val="b"/>
        <c:title>
          <c:tx>
            <c:rich>
              <a:bodyPr/>
              <a:lstStyle/>
              <a:p>
                <a:pPr>
                  <a:defRPr sz="800" b="1" i="0" u="none" strike="noStrike" baseline="0">
                    <a:solidFill>
                      <a:srgbClr val="000000"/>
                    </a:solidFill>
                    <a:latin typeface="Arial"/>
                    <a:ea typeface="Arial"/>
                    <a:cs typeface="Arial"/>
                  </a:defRPr>
                </a:pPr>
                <a:r>
                  <a:rPr lang="en-AU"/>
                  <a:t>Time</a:t>
                </a:r>
              </a:p>
            </c:rich>
          </c:tx>
          <c:layout>
            <c:manualLayout>
              <c:xMode val="edge"/>
              <c:yMode val="edge"/>
              <c:x val="0.51060070671378088"/>
              <c:y val="0.93939393939393945"/>
            </c:manualLayout>
          </c:layout>
          <c:overlay val="0"/>
          <c:spPr>
            <a:noFill/>
            <a:ln w="25400">
              <a:noFill/>
            </a:ln>
          </c:spPr>
        </c:title>
        <c:numFmt formatCode="d\-mmm"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800" b="1" i="0" u="none" strike="noStrike" baseline="0">
                    <a:solidFill>
                      <a:srgbClr val="000000"/>
                    </a:solidFill>
                    <a:latin typeface="Arial"/>
                    <a:ea typeface="Arial"/>
                    <a:cs typeface="Arial"/>
                  </a:defRPr>
                </a:pPr>
                <a:r>
                  <a:rPr lang="en-AU"/>
                  <a:t>Velocity (m/d)</a:t>
                </a:r>
              </a:p>
            </c:rich>
          </c:tx>
          <c:layout>
            <c:manualLayout>
              <c:xMode val="edge"/>
              <c:yMode val="edge"/>
              <c:x val="1.9434628975265017E-2"/>
              <c:y val="0.44318181818181818"/>
            </c:manualLayout>
          </c:layout>
          <c:overlay val="0"/>
          <c:spPr>
            <a:noFill/>
            <a:ln w="25400">
              <a:noFill/>
            </a:ln>
          </c:spPr>
        </c:title>
        <c:numFmt formatCode="0.000"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226988448"/>
        <c:crosses val="autoZero"/>
        <c:crossBetween val="midCat"/>
      </c:valAx>
      <c:spPr>
        <a:solidFill>
          <a:srgbClr val="FFFFFF"/>
        </a:solidFill>
        <a:ln w="12700">
          <a:solidFill>
            <a:srgbClr val="808080"/>
          </a:solidFill>
          <a:prstDash val="solid"/>
        </a:ln>
      </c:spPr>
    </c:plotArea>
    <c:plotVisOnly val="1"/>
    <c:dispBlanksAs val="gap"/>
    <c:showDLblsOverMax val="0"/>
  </c:chart>
  <c:spPr>
    <a:noFill/>
    <a:ln>
      <a:noFill/>
    </a:ln>
  </c:spPr>
  <c:txPr>
    <a:bodyPr/>
    <a:lstStyle/>
    <a:p>
      <a:pPr>
        <a:defRPr sz="800" b="0"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1" i="0" u="none" strike="noStrike" baseline="0">
                <a:solidFill>
                  <a:srgbClr val="000000"/>
                </a:solidFill>
                <a:latin typeface="Arial"/>
                <a:ea typeface="Arial"/>
                <a:cs typeface="Arial"/>
              </a:defRPr>
            </a:pPr>
            <a:r>
              <a:rPr lang="en-AU"/>
              <a:t>Vertical position</a:t>
            </a:r>
          </a:p>
        </c:rich>
      </c:tx>
      <c:layout>
        <c:manualLayout>
          <c:xMode val="edge"/>
          <c:yMode val="edge"/>
          <c:x val="0.41840277777777779"/>
          <c:y val="0.02"/>
        </c:manualLayout>
      </c:layout>
      <c:overlay val="0"/>
      <c:spPr>
        <a:noFill/>
        <a:ln w="25400">
          <a:noFill/>
        </a:ln>
      </c:spPr>
    </c:title>
    <c:autoTitleDeleted val="0"/>
    <c:plotArea>
      <c:layout>
        <c:manualLayout>
          <c:layoutTarget val="inner"/>
          <c:xMode val="edge"/>
          <c:yMode val="edge"/>
          <c:x val="0.12152777777777778"/>
          <c:y val="0.11"/>
          <c:w val="0.82986111111111116"/>
          <c:h val="0.79333333333333333"/>
        </c:manualLayout>
      </c:layout>
      <c:scatterChart>
        <c:scatterStyle val="lineMarker"/>
        <c:varyColors val="0"/>
        <c:ser>
          <c:idx val="0"/>
          <c:order val="0"/>
          <c:tx>
            <c:strRef>
              <c:f>daily!$E$1:$E$3</c:f>
              <c:strCache>
                <c:ptCount val="3"/>
              </c:strCache>
            </c:strRef>
          </c:tx>
          <c:spPr>
            <a:ln w="12700">
              <a:solidFill>
                <a:srgbClr val="000080"/>
              </a:solidFill>
              <a:prstDash val="solid"/>
            </a:ln>
          </c:spPr>
          <c:marker>
            <c:symbol val="diamond"/>
            <c:size val="5"/>
            <c:spPr>
              <a:solidFill>
                <a:srgbClr val="000080"/>
              </a:solidFill>
              <a:ln>
                <a:solidFill>
                  <a:srgbClr val="000080"/>
                </a:solidFill>
                <a:prstDash val="solid"/>
              </a:ln>
            </c:spPr>
          </c:marker>
          <c:xVal>
            <c:numRef>
              <c:f>daily!$E:$E</c:f>
              <c:numCache>
                <c:formatCode>General</c:formatCode>
                <c:ptCount val="65536"/>
                <c:pt idx="3" formatCode="m/d/yy\ h:mm">
                  <c:v>36832.792708333334</c:v>
                </c:pt>
                <c:pt idx="4" formatCode="m/d/yy\ h:mm">
                  <c:v>36833.042708333334</c:v>
                </c:pt>
                <c:pt idx="5" formatCode="m/d/yy\ h:mm">
                  <c:v>36833.292708333334</c:v>
                </c:pt>
                <c:pt idx="6" formatCode="m/d/yy\ h:mm">
                  <c:v>36833.542708333334</c:v>
                </c:pt>
                <c:pt idx="7" formatCode="m/d/yy\ h:mm">
                  <c:v>36833.792708333334</c:v>
                </c:pt>
                <c:pt idx="8" formatCode="m/d/yy\ h:mm">
                  <c:v>36834.042708333334</c:v>
                </c:pt>
                <c:pt idx="9" formatCode="m/d/yy\ h:mm">
                  <c:v>36834.292708333334</c:v>
                </c:pt>
                <c:pt idx="10" formatCode="m/d/yy\ h:mm">
                  <c:v>36834.542708333334</c:v>
                </c:pt>
                <c:pt idx="11" formatCode="m/d/yy\ h:mm">
                  <c:v>36835.545138888891</c:v>
                </c:pt>
                <c:pt idx="12" formatCode="m/d/yy\ h:mm">
                  <c:v>36835.792708333334</c:v>
                </c:pt>
                <c:pt idx="13" formatCode="m/d/yy\ h:mm">
                  <c:v>36836.793055555558</c:v>
                </c:pt>
                <c:pt idx="14" formatCode="m/d/yy\ h:mm">
                  <c:v>36837.293055555558</c:v>
                </c:pt>
                <c:pt idx="15" formatCode="m/d/yy\ h:mm">
                  <c:v>36837.542708333334</c:v>
                </c:pt>
                <c:pt idx="16" formatCode="m/d/yy\ h:mm">
                  <c:v>36837.793055555558</c:v>
                </c:pt>
                <c:pt idx="17" formatCode="m/d/yy\ h:mm">
                  <c:v>36838.042708333334</c:v>
                </c:pt>
                <c:pt idx="18" formatCode="m/d/yy\ h:mm">
                  <c:v>36838.292708333334</c:v>
                </c:pt>
                <c:pt idx="19" formatCode="m/d/yy\ h:mm">
                  <c:v>36838.542708333334</c:v>
                </c:pt>
                <c:pt idx="20" formatCode="m/d/yy\ h:mm">
                  <c:v>36838.792708333334</c:v>
                </c:pt>
                <c:pt idx="21" formatCode="m/d/yy\ h:mm">
                  <c:v>36839.042708333334</c:v>
                </c:pt>
                <c:pt idx="22" formatCode="m/d/yy\ h:mm">
                  <c:v>36850.543055555558</c:v>
                </c:pt>
                <c:pt idx="23" formatCode="m/d/yy\ h:mm">
                  <c:v>36850.792708333334</c:v>
                </c:pt>
                <c:pt idx="24" formatCode="m/d/yy\ h:mm">
                  <c:v>36851.051504629628</c:v>
                </c:pt>
                <c:pt idx="25" formatCode="m/d/yy\ h:mm">
                  <c:v>36851.292708333334</c:v>
                </c:pt>
                <c:pt idx="26" formatCode="m/d/yy\ h:mm">
                  <c:v>36851.542708333334</c:v>
                </c:pt>
                <c:pt idx="27" formatCode="m/d/yy\ h:mm">
                  <c:v>36851.793055555558</c:v>
                </c:pt>
                <c:pt idx="28" formatCode="m/d/yy\ h:mm">
                  <c:v>36852.042708333334</c:v>
                </c:pt>
                <c:pt idx="29" formatCode="m/d/yy\ h:mm">
                  <c:v>36852.293055555558</c:v>
                </c:pt>
                <c:pt idx="30" formatCode="m/d/yy\ h:mm">
                  <c:v>36852.543055555558</c:v>
                </c:pt>
                <c:pt idx="31" formatCode="m/d/yy\ h:mm">
                  <c:v>36852.792708333334</c:v>
                </c:pt>
                <c:pt idx="32" formatCode="m/d/yy\ h:mm">
                  <c:v>36853.042708333334</c:v>
                </c:pt>
                <c:pt idx="33" formatCode="m/d/yy\ h:mm">
                  <c:v>36853.292708333334</c:v>
                </c:pt>
                <c:pt idx="34" formatCode="m/d/yy\ h:mm">
                  <c:v>36853.542708333334</c:v>
                </c:pt>
                <c:pt idx="35" formatCode="m/d/yy\ h:mm">
                  <c:v>36854.792708333334</c:v>
                </c:pt>
                <c:pt idx="36" formatCode="m/d/yy\ h:mm">
                  <c:v>36855.042708333334</c:v>
                </c:pt>
                <c:pt idx="37" formatCode="m/d/yy\ h:mm">
                  <c:v>36855.292708333334</c:v>
                </c:pt>
              </c:numCache>
            </c:numRef>
          </c:xVal>
          <c:yVal>
            <c:numRef>
              <c:f>daily!$R:$R</c:f>
              <c:numCache>
                <c:formatCode>General</c:formatCode>
                <c:ptCount val="65536"/>
                <c:pt idx="0">
                  <c:v>0</c:v>
                </c:pt>
                <c:pt idx="1">
                  <c:v>0</c:v>
                </c:pt>
                <c:pt idx="3">
                  <c:v>498.45619999999997</c:v>
                </c:pt>
                <c:pt idx="4">
                  <c:v>498.45389999999998</c:v>
                </c:pt>
                <c:pt idx="5">
                  <c:v>498.45119999999997</c:v>
                </c:pt>
                <c:pt idx="6">
                  <c:v>498.43780000000004</c:v>
                </c:pt>
                <c:pt idx="7">
                  <c:v>498.41880000000003</c:v>
                </c:pt>
                <c:pt idx="8">
                  <c:v>498.40239999999994</c:v>
                </c:pt>
                <c:pt idx="9">
                  <c:v>498.40049999999997</c:v>
                </c:pt>
                <c:pt idx="10">
                  <c:v>498.37549999999999</c:v>
                </c:pt>
                <c:pt idx="11">
                  <c:v>498.351</c:v>
                </c:pt>
                <c:pt idx="12">
                  <c:v>498.30340000000001</c:v>
                </c:pt>
                <c:pt idx="13">
                  <c:v>498.31110000000001</c:v>
                </c:pt>
                <c:pt idx="14">
                  <c:v>498.31669999999997</c:v>
                </c:pt>
                <c:pt idx="15">
                  <c:v>498.25170000000003</c:v>
                </c:pt>
                <c:pt idx="16">
                  <c:v>498.20399999999995</c:v>
                </c:pt>
                <c:pt idx="17">
                  <c:v>498.23260000000005</c:v>
                </c:pt>
                <c:pt idx="18">
                  <c:v>498.18380000000002</c:v>
                </c:pt>
                <c:pt idx="19">
                  <c:v>498.16780000000006</c:v>
                </c:pt>
                <c:pt idx="20">
                  <c:v>498.12800000000004</c:v>
                </c:pt>
                <c:pt idx="21">
                  <c:v>498.13909999999998</c:v>
                </c:pt>
                <c:pt idx="22">
                  <c:v>497.69190000000003</c:v>
                </c:pt>
                <c:pt idx="23">
                  <c:v>497.68079999999998</c:v>
                </c:pt>
                <c:pt idx="24">
                  <c:v>497.68910000000005</c:v>
                </c:pt>
                <c:pt idx="25">
                  <c:v>497.66880000000003</c:v>
                </c:pt>
                <c:pt idx="26">
                  <c:v>497.63480000000004</c:v>
                </c:pt>
                <c:pt idx="27">
                  <c:v>497.64859999999999</c:v>
                </c:pt>
                <c:pt idx="28">
                  <c:v>497.67579999999998</c:v>
                </c:pt>
                <c:pt idx="29">
                  <c:v>497.66380000000004</c:v>
                </c:pt>
                <c:pt idx="30">
                  <c:v>497.59460000000001</c:v>
                </c:pt>
                <c:pt idx="31">
                  <c:v>497.54849999999999</c:v>
                </c:pt>
                <c:pt idx="32">
                  <c:v>497.56629999999996</c:v>
                </c:pt>
                <c:pt idx="33">
                  <c:v>497.53200000000004</c:v>
                </c:pt>
                <c:pt idx="34">
                  <c:v>497.49580000000003</c:v>
                </c:pt>
                <c:pt idx="35">
                  <c:v>497.40959999999995</c:v>
                </c:pt>
                <c:pt idx="36">
                  <c:v>497.41579999999999</c:v>
                </c:pt>
                <c:pt idx="37">
                  <c:v>497.35450000000003</c:v>
                </c:pt>
              </c:numCache>
            </c:numRef>
          </c:yVal>
          <c:smooth val="0"/>
          <c:extLst>
            <c:ext xmlns:c16="http://schemas.microsoft.com/office/drawing/2014/chart" uri="{C3380CC4-5D6E-409C-BE32-E72D297353CC}">
              <c16:uniqueId val="{00000000-33F9-4021-9DA0-93405786D5D8}"/>
            </c:ext>
          </c:extLst>
        </c:ser>
        <c:dLbls>
          <c:showLegendKey val="0"/>
          <c:showVal val="0"/>
          <c:showCatName val="0"/>
          <c:showSerName val="0"/>
          <c:showPercent val="0"/>
          <c:showBubbleSize val="0"/>
        </c:dLbls>
        <c:axId val="43718440"/>
        <c:axId val="1"/>
      </c:scatterChart>
      <c:valAx>
        <c:axId val="43718440"/>
        <c:scaling>
          <c:orientation val="minMax"/>
        </c:scaling>
        <c:delete val="0"/>
        <c:axPos val="b"/>
        <c:title>
          <c:tx>
            <c:rich>
              <a:bodyPr/>
              <a:lstStyle/>
              <a:p>
                <a:pPr>
                  <a:defRPr sz="800" b="1" i="0" u="none" strike="noStrike" baseline="0">
                    <a:solidFill>
                      <a:srgbClr val="000000"/>
                    </a:solidFill>
                    <a:latin typeface="Arial"/>
                    <a:ea typeface="Arial"/>
                    <a:cs typeface="Arial"/>
                  </a:defRPr>
                </a:pPr>
                <a:r>
                  <a:rPr lang="en-AU"/>
                  <a:t>Time</a:t>
                </a:r>
              </a:p>
            </c:rich>
          </c:tx>
          <c:layout>
            <c:manualLayout>
              <c:xMode val="edge"/>
              <c:yMode val="edge"/>
              <c:x val="0.50694444444444442"/>
              <c:y val="0.94666666666666666"/>
            </c:manualLayout>
          </c:layout>
          <c:overlay val="0"/>
          <c:spPr>
            <a:noFill/>
            <a:ln w="25400">
              <a:noFill/>
            </a:ln>
          </c:spPr>
        </c:title>
        <c:numFmt formatCode="d\-mmm"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1"/>
        <c:crosses val="autoZero"/>
        <c:crossBetween val="midCat"/>
      </c:valAx>
      <c:valAx>
        <c:axId val="1"/>
        <c:scaling>
          <c:orientation val="minMax"/>
          <c:max val="499"/>
          <c:min val="497"/>
        </c:scaling>
        <c:delete val="0"/>
        <c:axPos val="l"/>
        <c:majorGridlines>
          <c:spPr>
            <a:ln w="3175">
              <a:solidFill>
                <a:srgbClr val="000000"/>
              </a:solidFill>
              <a:prstDash val="solid"/>
            </a:ln>
          </c:spPr>
        </c:majorGridlines>
        <c:title>
          <c:tx>
            <c:rich>
              <a:bodyPr/>
              <a:lstStyle/>
              <a:p>
                <a:pPr>
                  <a:defRPr sz="800" b="1" i="0" u="none" strike="noStrike" baseline="0">
                    <a:solidFill>
                      <a:srgbClr val="000000"/>
                    </a:solidFill>
                    <a:latin typeface="Arial"/>
                    <a:ea typeface="Arial"/>
                    <a:cs typeface="Arial"/>
                  </a:defRPr>
                </a:pPr>
                <a:r>
                  <a:rPr lang="en-AU"/>
                  <a:t>Elevation (m a.s.l.)</a:t>
                </a:r>
              </a:p>
            </c:rich>
          </c:tx>
          <c:layout>
            <c:manualLayout>
              <c:xMode val="edge"/>
              <c:yMode val="edge"/>
              <c:x val="1.9097222222222224E-2"/>
              <c:y val="0.4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43718440"/>
        <c:crosses val="autoZero"/>
        <c:crossBetween val="midCat"/>
        <c:majorUnit val="0.5"/>
        <c:minorUnit val="0.1"/>
      </c:valAx>
      <c:spPr>
        <a:solidFill>
          <a:srgbClr val="FFFFFF"/>
        </a:solidFill>
        <a:ln w="12700">
          <a:solidFill>
            <a:srgbClr val="808080"/>
          </a:solidFill>
          <a:prstDash val="solid"/>
        </a:ln>
      </c:spPr>
    </c:plotArea>
    <c:plotVisOnly val="1"/>
    <c:dispBlanksAs val="gap"/>
    <c:showDLblsOverMax val="0"/>
  </c:chart>
  <c:spPr>
    <a:noFill/>
    <a:ln>
      <a:noFill/>
    </a:ln>
  </c:spPr>
  <c:txPr>
    <a:bodyPr/>
    <a:lstStyle/>
    <a:p>
      <a:pPr>
        <a:defRPr sz="800" b="0" i="0" u="none" strike="noStrike" baseline="0">
          <a:solidFill>
            <a:srgbClr val="000000"/>
          </a:solidFill>
          <a:latin typeface="Arial"/>
          <a:ea typeface="Arial"/>
          <a:cs typeface="Arial"/>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2" b="0" i="0" u="none" strike="noStrike" baseline="0">
                <a:solidFill>
                  <a:srgbClr val="000000"/>
                </a:solidFill>
                <a:latin typeface="Arial"/>
                <a:ea typeface="Arial"/>
                <a:cs typeface="Arial"/>
              </a:defRPr>
            </a:pPr>
            <a:r>
              <a:rPr lang="en-AU"/>
              <a:t>Emergence velocity</a:t>
            </a:r>
          </a:p>
        </c:rich>
      </c:tx>
      <c:layout>
        <c:manualLayout>
          <c:xMode val="edge"/>
          <c:yMode val="edge"/>
          <c:x val="0.40992647058823528"/>
          <c:y val="2.0689655172413793E-2"/>
        </c:manualLayout>
      </c:layout>
      <c:overlay val="0"/>
      <c:spPr>
        <a:noFill/>
        <a:ln w="28631">
          <a:noFill/>
        </a:ln>
      </c:spPr>
    </c:title>
    <c:autoTitleDeleted val="0"/>
    <c:plotArea>
      <c:layout>
        <c:manualLayout>
          <c:layoutTarget val="inner"/>
          <c:xMode val="edge"/>
          <c:yMode val="edge"/>
          <c:x val="7.5367647058823525E-2"/>
          <c:y val="0.12183908045977011"/>
          <c:w val="0.70404411764705888"/>
          <c:h val="0.66666666666666663"/>
        </c:manualLayout>
      </c:layout>
      <c:lineChart>
        <c:grouping val="standard"/>
        <c:varyColors val="0"/>
        <c:ser>
          <c:idx val="0"/>
          <c:order val="0"/>
          <c:tx>
            <c:strRef>
              <c:f>Velocity!$P$4:$P$5</c:f>
              <c:strCache>
                <c:ptCount val="2"/>
              </c:strCache>
            </c:strRef>
          </c:tx>
          <c:spPr>
            <a:ln w="14315">
              <a:solidFill>
                <a:srgbClr val="000080"/>
              </a:solidFill>
              <a:prstDash val="solid"/>
            </a:ln>
          </c:spPr>
          <c:marker>
            <c:symbol val="diamond"/>
            <c:size val="5"/>
            <c:spPr>
              <a:solidFill>
                <a:srgbClr val="000080"/>
              </a:solidFill>
              <a:ln>
                <a:solidFill>
                  <a:srgbClr val="000080"/>
                </a:solidFill>
                <a:prstDash val="solid"/>
              </a:ln>
            </c:spPr>
          </c:marker>
          <c:dLbls>
            <c:dLbl>
              <c:idx val="0"/>
              <c:tx>
                <c:rich>
                  <a:bodyPr/>
                  <a:lstStyle/>
                  <a:p>
                    <a:pPr>
                      <a:defRPr sz="648" b="0" i="0" u="none" strike="noStrike" baseline="0">
                        <a:solidFill>
                          <a:srgbClr val="000000"/>
                        </a:solidFill>
                        <a:latin typeface="Arial"/>
                        <a:ea typeface="Arial"/>
                        <a:cs typeface="Arial"/>
                      </a:defRPr>
                    </a:pPr>
                    <a:r>
                      <a:rPr lang="en-AU"/>
                      <a:t>BG05</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F31-4BEE-AB78-606928787C27}"/>
                </c:ext>
              </c:extLst>
            </c:dLbl>
            <c:dLbl>
              <c:idx val="3"/>
              <c:tx>
                <c:rich>
                  <a:bodyPr/>
                  <a:lstStyle/>
                  <a:p>
                    <a:pPr>
                      <a:defRPr sz="648" b="0" i="0" u="none" strike="noStrike" baseline="0">
                        <a:solidFill>
                          <a:srgbClr val="000000"/>
                        </a:solidFill>
                        <a:latin typeface="Arial"/>
                        <a:ea typeface="Arial"/>
                        <a:cs typeface="Arial"/>
                      </a:defRPr>
                    </a:pPr>
                    <a:r>
                      <a:rPr lang="en-AU"/>
                      <a:t>BG10</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F31-4BEE-AB78-606928787C27}"/>
                </c:ext>
              </c:extLst>
            </c:dLbl>
            <c:dLbl>
              <c:idx val="6"/>
              <c:tx>
                <c:rich>
                  <a:bodyPr/>
                  <a:lstStyle/>
                  <a:p>
                    <a:pPr>
                      <a:defRPr sz="648" b="0" i="0" u="none" strike="noStrike" baseline="0">
                        <a:solidFill>
                          <a:srgbClr val="000000"/>
                        </a:solidFill>
                        <a:latin typeface="Arial"/>
                        <a:ea typeface="Arial"/>
                        <a:cs typeface="Arial"/>
                      </a:defRPr>
                    </a:pPr>
                    <a:r>
                      <a:rPr lang="en-AU"/>
                      <a:t>BG15</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F31-4BEE-AB78-606928787C27}"/>
                </c:ext>
              </c:extLst>
            </c:dLbl>
            <c:dLbl>
              <c:idx val="9"/>
              <c:tx>
                <c:rich>
                  <a:bodyPr/>
                  <a:lstStyle/>
                  <a:p>
                    <a:pPr>
                      <a:defRPr sz="648" b="0" i="0" u="none" strike="noStrike" baseline="0">
                        <a:solidFill>
                          <a:srgbClr val="000000"/>
                        </a:solidFill>
                        <a:latin typeface="Arial"/>
                        <a:ea typeface="Arial"/>
                        <a:cs typeface="Arial"/>
                      </a:defRPr>
                    </a:pPr>
                    <a:r>
                      <a:rPr lang="en-AU"/>
                      <a:t>BG20</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F31-4BEE-AB78-606928787C27}"/>
                </c:ext>
              </c:extLst>
            </c:dLbl>
            <c:dLbl>
              <c:idx val="12"/>
              <c:tx>
                <c:rich>
                  <a:bodyPr/>
                  <a:lstStyle/>
                  <a:p>
                    <a:pPr>
                      <a:defRPr sz="648" b="0" i="0" u="none" strike="noStrike" baseline="0">
                        <a:solidFill>
                          <a:srgbClr val="000000"/>
                        </a:solidFill>
                        <a:latin typeface="Arial"/>
                        <a:ea typeface="Arial"/>
                        <a:cs typeface="Arial"/>
                      </a:defRPr>
                    </a:pPr>
                    <a:r>
                      <a:rPr lang="en-AU"/>
                      <a:t>BG25</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F31-4BEE-AB78-606928787C27}"/>
                </c:ext>
              </c:extLst>
            </c:dLbl>
            <c:dLbl>
              <c:idx val="15"/>
              <c:tx>
                <c:rich>
                  <a:bodyPr/>
                  <a:lstStyle/>
                  <a:p>
                    <a:pPr>
                      <a:defRPr sz="648" b="0" i="0" u="none" strike="noStrike" baseline="0">
                        <a:solidFill>
                          <a:srgbClr val="000000"/>
                        </a:solidFill>
                        <a:latin typeface="Arial"/>
                        <a:ea typeface="Arial"/>
                        <a:cs typeface="Arial"/>
                      </a:defRPr>
                    </a:pPr>
                    <a:r>
                      <a:rPr lang="en-AU"/>
                      <a:t>BG30</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F31-4BEE-AB78-606928787C27}"/>
                </c:ext>
              </c:extLst>
            </c:dLbl>
            <c:dLbl>
              <c:idx val="18"/>
              <c:tx>
                <c:rich>
                  <a:bodyPr/>
                  <a:lstStyle/>
                  <a:p>
                    <a:pPr>
                      <a:defRPr sz="648" b="0" i="0" u="none" strike="noStrike" baseline="0">
                        <a:solidFill>
                          <a:srgbClr val="000000"/>
                        </a:solidFill>
                        <a:latin typeface="Arial"/>
                        <a:ea typeface="Arial"/>
                        <a:cs typeface="Arial"/>
                      </a:defRPr>
                    </a:pPr>
                    <a:r>
                      <a:rPr lang="en-AU"/>
                      <a:t>BG35</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F31-4BEE-AB78-606928787C27}"/>
                </c:ext>
              </c:extLst>
            </c:dLbl>
            <c:dLbl>
              <c:idx val="21"/>
              <c:tx>
                <c:rich>
                  <a:bodyPr/>
                  <a:lstStyle/>
                  <a:p>
                    <a:pPr>
                      <a:defRPr sz="648" b="0" i="0" u="none" strike="noStrike" baseline="0">
                        <a:solidFill>
                          <a:srgbClr val="000000"/>
                        </a:solidFill>
                        <a:latin typeface="Arial"/>
                        <a:ea typeface="Arial"/>
                        <a:cs typeface="Arial"/>
                      </a:defRPr>
                    </a:pPr>
                    <a:r>
                      <a:rPr lang="en-AU"/>
                      <a:t>BG40</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F31-4BEE-AB78-606928787C27}"/>
                </c:ext>
              </c:extLst>
            </c:dLbl>
            <c:dLbl>
              <c:idx val="24"/>
              <c:tx>
                <c:rich>
                  <a:bodyPr/>
                  <a:lstStyle/>
                  <a:p>
                    <a:pPr>
                      <a:defRPr sz="648" b="0" i="0" u="none" strike="noStrike" baseline="0">
                        <a:solidFill>
                          <a:srgbClr val="000000"/>
                        </a:solidFill>
                        <a:latin typeface="Arial"/>
                        <a:ea typeface="Arial"/>
                        <a:cs typeface="Arial"/>
                      </a:defRPr>
                    </a:pPr>
                    <a:r>
                      <a:rPr lang="en-AU"/>
                      <a:t>BG45</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F31-4BEE-AB78-606928787C27}"/>
                </c:ext>
              </c:extLst>
            </c:dLbl>
            <c:dLbl>
              <c:idx val="27"/>
              <c:tx>
                <c:rich>
                  <a:bodyPr/>
                  <a:lstStyle/>
                  <a:p>
                    <a:pPr>
                      <a:defRPr sz="648" b="0" i="0" u="none" strike="noStrike" baseline="0">
                        <a:solidFill>
                          <a:srgbClr val="000000"/>
                        </a:solidFill>
                        <a:latin typeface="Arial"/>
                        <a:ea typeface="Arial"/>
                        <a:cs typeface="Arial"/>
                      </a:defRPr>
                    </a:pPr>
                    <a:r>
                      <a:rPr lang="en-AU"/>
                      <a:t>BG50</a:t>
                    </a:r>
                  </a:p>
                </c:rich>
              </c:tx>
              <c:spPr>
                <a:noFill/>
                <a:ln w="28631">
                  <a:noFill/>
                </a:ln>
              </c:spPr>
              <c:showLegendKey val="0"/>
              <c:showVal val="0"/>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F31-4BEE-AB78-606928787C27}"/>
                </c:ext>
              </c:extLst>
            </c:dLbl>
            <c:spPr>
              <a:noFill/>
              <a:ln w="28631">
                <a:noFill/>
              </a:ln>
            </c:spPr>
            <c:txPr>
              <a:bodyPr wrap="square" lIns="38100" tIns="19050" rIns="38100" bIns="19050" anchor="ctr">
                <a:spAutoFit/>
              </a:bodyPr>
              <a:lstStyle/>
              <a:p>
                <a:pPr>
                  <a:defRPr sz="648" b="0" i="0" u="none" strike="noStrike" baseline="0">
                    <a:solidFill>
                      <a:srgbClr val="000000"/>
                    </a:solidFill>
                    <a:latin typeface="Arial"/>
                    <a:ea typeface="Arial"/>
                    <a:cs typeface="Arial"/>
                  </a:defRPr>
                </a:pPr>
                <a:endParaRPr lang="en-US"/>
              </a:p>
            </c:txPr>
            <c:showLegendKey val="0"/>
            <c:showVal val="0"/>
            <c:showCatName val="1"/>
            <c:showSerName val="0"/>
            <c:showPercent val="0"/>
            <c:showBubbleSize val="0"/>
            <c:showLeaderLines val="0"/>
            <c:extLst>
              <c:ext xmlns:c15="http://schemas.microsoft.com/office/drawing/2012/chart" uri="{CE6537A1-D6FC-4f65-9D91-7224C49458BB}">
                <c15:showLeaderLines val="0"/>
              </c:ext>
            </c:extLst>
          </c:dLbls>
          <c:errBars>
            <c:errDir val="y"/>
            <c:errBarType val="both"/>
            <c:errValType val="fixedVal"/>
            <c:noEndCap val="0"/>
            <c:val val="2"/>
            <c:spPr>
              <a:ln w="14315">
                <a:solidFill>
                  <a:srgbClr val="000000"/>
                </a:solidFill>
                <a:prstDash val="solid"/>
              </a:ln>
            </c:spPr>
          </c:errBars>
          <c:val>
            <c:numRef>
              <c:f>Velocity!$P$6:$P$35</c:f>
              <c:numCache>
                <c:formatCode>General</c:formatCode>
                <c:ptCount val="30"/>
                <c:pt idx="0">
                  <c:v>1.1177238041878437</c:v>
                </c:pt>
                <c:pt idx="3">
                  <c:v>-5.5831714309037679</c:v>
                </c:pt>
                <c:pt idx="6">
                  <c:v>3.7119863921927454</c:v>
                </c:pt>
                <c:pt idx="9">
                  <c:v>0.93231238377216596</c:v>
                </c:pt>
                <c:pt idx="12">
                  <c:v>-0.45484817228416402</c:v>
                </c:pt>
                <c:pt idx="15">
                  <c:v>-1.4298685765341359</c:v>
                </c:pt>
                <c:pt idx="18">
                  <c:v>-6.2106783061316415</c:v>
                </c:pt>
                <c:pt idx="21">
                  <c:v>0.65594119474232238</c:v>
                </c:pt>
                <c:pt idx="24">
                  <c:v>4.2059495227465939</c:v>
                </c:pt>
                <c:pt idx="27">
                  <c:v>-0.14207356420567238</c:v>
                </c:pt>
              </c:numCache>
            </c:numRef>
          </c:val>
          <c:smooth val="0"/>
          <c:extLst>
            <c:ext xmlns:c16="http://schemas.microsoft.com/office/drawing/2014/chart" uri="{C3380CC4-5D6E-409C-BE32-E72D297353CC}">
              <c16:uniqueId val="{0000000A-BF31-4BEE-AB78-606928787C27}"/>
            </c:ext>
          </c:extLst>
        </c:ser>
        <c:dLbls>
          <c:showLegendKey val="0"/>
          <c:showVal val="0"/>
          <c:showCatName val="1"/>
          <c:showSerName val="0"/>
          <c:showPercent val="0"/>
          <c:showBubbleSize val="0"/>
        </c:dLbls>
        <c:marker val="1"/>
        <c:smooth val="0"/>
        <c:axId val="227965200"/>
        <c:axId val="1"/>
      </c:lineChart>
      <c:catAx>
        <c:axId val="227965200"/>
        <c:scaling>
          <c:orientation val="minMax"/>
        </c:scaling>
        <c:delete val="1"/>
        <c:axPos val="b"/>
        <c:majorTickMark val="out"/>
        <c:minorTickMark val="none"/>
        <c:tickLblPos val="nextTo"/>
        <c:crossAx val="1"/>
        <c:crosses val="autoZero"/>
        <c:auto val="0"/>
        <c:lblAlgn val="ctr"/>
        <c:lblOffset val="100"/>
        <c:noMultiLvlLbl val="0"/>
      </c:catAx>
      <c:valAx>
        <c:axId val="1"/>
        <c:scaling>
          <c:orientation val="minMax"/>
        </c:scaling>
        <c:delete val="0"/>
        <c:axPos val="l"/>
        <c:majorGridlines>
          <c:spPr>
            <a:ln w="3579">
              <a:solidFill>
                <a:srgbClr val="000000"/>
              </a:solidFill>
              <a:prstDash val="solid"/>
            </a:ln>
          </c:spPr>
        </c:majorGridlines>
        <c:title>
          <c:tx>
            <c:rich>
              <a:bodyPr/>
              <a:lstStyle/>
              <a:p>
                <a:pPr>
                  <a:defRPr sz="648" b="1" i="0" u="none" strike="noStrike" baseline="0">
                    <a:solidFill>
                      <a:srgbClr val="000000"/>
                    </a:solidFill>
                    <a:latin typeface="Arial"/>
                    <a:ea typeface="Arial"/>
                    <a:cs typeface="Arial"/>
                  </a:defRPr>
                </a:pPr>
                <a:r>
                  <a:rPr lang="en-AU"/>
                  <a:t>Velocity (m/a)</a:t>
                </a:r>
              </a:p>
            </c:rich>
          </c:tx>
          <c:layout>
            <c:manualLayout>
              <c:xMode val="edge"/>
              <c:yMode val="edge"/>
              <c:x val="1.1029411764705883E-2"/>
              <c:y val="0.3724137931034483"/>
            </c:manualLayout>
          </c:layout>
          <c:overlay val="0"/>
          <c:spPr>
            <a:noFill/>
            <a:ln w="28631">
              <a:noFill/>
            </a:ln>
          </c:spPr>
        </c:title>
        <c:numFmt formatCode="General" sourceLinked="1"/>
        <c:majorTickMark val="out"/>
        <c:minorTickMark val="none"/>
        <c:tickLblPos val="nextTo"/>
        <c:spPr>
          <a:ln w="3579">
            <a:solidFill>
              <a:srgbClr val="000000"/>
            </a:solidFill>
            <a:prstDash val="solid"/>
          </a:ln>
        </c:spPr>
        <c:txPr>
          <a:bodyPr rot="0" vert="horz"/>
          <a:lstStyle/>
          <a:p>
            <a:pPr>
              <a:defRPr sz="648" b="0" i="0" u="none" strike="noStrike" baseline="0">
                <a:solidFill>
                  <a:srgbClr val="000000"/>
                </a:solidFill>
                <a:latin typeface="Arial"/>
                <a:ea typeface="Arial"/>
                <a:cs typeface="Arial"/>
              </a:defRPr>
            </a:pPr>
            <a:endParaRPr lang="en-US"/>
          </a:p>
        </c:txPr>
        <c:crossAx val="227965200"/>
        <c:crosses val="autoZero"/>
        <c:crossBetween val="between"/>
      </c:valAx>
      <c:spPr>
        <a:solidFill>
          <a:srgbClr val="FFFFFF"/>
        </a:solidFill>
        <a:ln w="14315">
          <a:solidFill>
            <a:srgbClr val="808080"/>
          </a:solidFill>
          <a:prstDash val="solid"/>
        </a:ln>
      </c:spPr>
    </c:plotArea>
    <c:plotVisOnly val="1"/>
    <c:dispBlanksAs val="gap"/>
    <c:showDLblsOverMax val="0"/>
  </c:chart>
  <c:spPr>
    <a:noFill/>
    <a:ln>
      <a:noFill/>
    </a:ln>
  </c:spPr>
  <c:txPr>
    <a:bodyPr/>
    <a:lstStyle/>
    <a:p>
      <a:pPr>
        <a:defRPr sz="902" b="0" i="0" u="none" strike="noStrike" baseline="0">
          <a:solidFill>
            <a:srgbClr val="000000"/>
          </a:solidFill>
          <a:latin typeface="Arial"/>
          <a:ea typeface="Arial"/>
          <a:cs typeface="Arial"/>
        </a:defRPr>
      </a:pPr>
      <a:endParaRPr lang="en-US"/>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0.172</cdr:x>
      <cdr:y>0.18775</cdr:y>
    </cdr:from>
    <cdr:to>
      <cdr:x>0.172</cdr:x>
      <cdr:y>0.2275</cdr:y>
    </cdr:to>
    <cdr:sp macro="" textlink="">
      <cdr:nvSpPr>
        <cdr:cNvPr id="1025" name="Line 1"/>
        <cdr:cNvSpPr>
          <a:spLocks xmlns:a="http://schemas.openxmlformats.org/drawingml/2006/main" noChangeShapeType="1"/>
        </cdr:cNvSpPr>
      </cdr:nvSpPr>
      <cdr:spPr bwMode="auto">
        <a:xfrm xmlns:a="http://schemas.openxmlformats.org/drawingml/2006/main">
          <a:off x="943661" y="1072991"/>
          <a:ext cx="0" cy="227172"/>
        </a:xfrm>
        <a:prstGeom xmlns:a="http://schemas.openxmlformats.org/drawingml/2006/main" prst="line">
          <a:avLst/>
        </a:prstGeom>
        <a:noFill xmlns:a="http://schemas.openxmlformats.org/drawingml/2006/main"/>
        <a:ln xmlns:a="http://schemas.openxmlformats.org/drawingml/2006/main" w="9525">
          <a:solidFill>
            <a:srgbClr xmlns:mc="http://schemas.openxmlformats.org/markup-compatibility/2006" xmlns:a14="http://schemas.microsoft.com/office/drawing/2010/main" val="000000" mc:Ignorable="a14" a14:legacySpreadsheetColorIndex="64"/>
          </a:solidFill>
          <a:round/>
          <a:headEnd type="triangle" w="sm" len="sm"/>
          <a:tailEnd type="triangle" w="sm" len="sm"/>
        </a:ln>
        <a:extLst xmlns:a="http://schemas.openxmlformats.org/drawingml/2006/main">
          <a:ext uri="{909E8E84-426E-40DD-AFC4-6F175D3DCCD1}">
            <a14:hiddenFill xmlns:a14="http://schemas.microsoft.com/office/drawing/2010/main">
              <a:noFill/>
            </a14:hiddenFill>
          </a:ext>
        </a:extLst>
      </cdr:spPr>
    </cdr:sp>
  </cdr:relSizeAnchor>
  <cdr:relSizeAnchor xmlns:cdr="http://schemas.openxmlformats.org/drawingml/2006/chartDrawing">
    <cdr:from>
      <cdr:x>0.18525</cdr:x>
      <cdr:y>0.18775</cdr:y>
    </cdr:from>
    <cdr:to>
      <cdr:x>0.26</cdr:x>
      <cdr:y>0.22775</cdr:y>
    </cdr:to>
    <cdr:sp macro="" textlink="">
      <cdr:nvSpPr>
        <cdr:cNvPr id="1026" name="Text Box 2"/>
        <cdr:cNvSpPr txBox="1">
          <a:spLocks xmlns:a="http://schemas.openxmlformats.org/drawingml/2006/main" noChangeArrowheads="1"/>
        </cdr:cNvSpPr>
      </cdr:nvSpPr>
      <cdr:spPr bwMode="auto">
        <a:xfrm xmlns:a="http://schemas.openxmlformats.org/drawingml/2006/main">
          <a:off x="1016356" y="1072991"/>
          <a:ext cx="410108" cy="2286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xmlns:mc="http://schemas.openxmlformats.org/markup-compatibility/2006" val="FFFFFF" mc:Ignorable="a14" a14:legacySpreadsheetColorIndex="9"/>
              </a:solidFill>
            </a14:hiddenFill>
          </a:ext>
          <a:ext uri="{91240B29-F687-4F45-9708-019B960494DF}">
            <a14:hiddenLine xmlns:a14="http://schemas.microsoft.com/office/drawing/2010/main" w="9525">
              <a:solidFill>
                <a:srgbClr xmlns:mc="http://schemas.openxmlformats.org/markup-compatibility/2006" val="000000" mc:Ignorable="a14" a14:legacySpreadsheetColorIndex="64"/>
              </a:solidFill>
              <a:miter lim="800000"/>
              <a:headEnd/>
              <a:tailEnd/>
            </a14:hiddenLine>
          </a:ext>
        </a:extLst>
      </cdr:spPr>
      <cdr:txBody>
        <a:bodyPr xmlns:a="http://schemas.openxmlformats.org/drawingml/2006/main" wrap="none" lIns="18288" tIns="22860" rIns="0" bIns="0" anchor="t" upright="1">
          <a:spAutoFit/>
        </a:bodyPr>
        <a:lstStyle xmlns:a="http://schemas.openxmlformats.org/drawingml/2006/main"/>
        <a:p xmlns:a="http://schemas.openxmlformats.org/drawingml/2006/main">
          <a:pPr algn="l" rtl="0">
            <a:defRPr sz="1000"/>
          </a:pPr>
          <a:r>
            <a:rPr lang="en-AU" sz="800" b="0" i="0" u="none" strike="noStrike" baseline="0">
              <a:solidFill>
                <a:srgbClr val="000000"/>
              </a:solidFill>
              <a:latin typeface="Arial"/>
              <a:cs typeface="Arial"/>
            </a:rPr>
            <a:t>error</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845</Words>
  <Characters>4821</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Brown Glacier Data Report</vt:lpstr>
    </vt:vector>
  </TitlesOfParts>
  <Company>Dell Computer Corporation</Company>
  <LinksUpToDate>false</LinksUpToDate>
  <CharactersWithSpaces>5655</CharactersWithSpaces>
  <SharedDoc>false</SharedDoc>
  <HLinks>
    <vt:vector size="18" baseType="variant">
      <vt:variant>
        <vt:i4>7274550</vt:i4>
      </vt:variant>
      <vt:variant>
        <vt:i4>4191</vt:i4>
      </vt:variant>
      <vt:variant>
        <vt:i4>1025</vt:i4>
      </vt:variant>
      <vt:variant>
        <vt:i4>1</vt:i4>
      </vt:variant>
      <vt:variant>
        <vt:lpwstr>velocities.eps</vt:lpwstr>
      </vt:variant>
      <vt:variant>
        <vt:lpwstr/>
      </vt:variant>
      <vt:variant>
        <vt:i4>786504</vt:i4>
      </vt:variant>
      <vt:variant>
        <vt:i4>6139</vt:i4>
      </vt:variant>
      <vt:variant>
        <vt:i4>1031</vt:i4>
      </vt:variant>
      <vt:variant>
        <vt:i4>1</vt:i4>
      </vt:variant>
      <vt:variant>
        <vt:lpwstr>longitudinal.eps</vt:lpwstr>
      </vt:variant>
      <vt:variant>
        <vt:lpwstr/>
      </vt:variant>
      <vt:variant>
        <vt:i4>7012398</vt:i4>
      </vt:variant>
      <vt:variant>
        <vt:i4>6390</vt:i4>
      </vt:variant>
      <vt:variant>
        <vt:i4>1037</vt:i4>
      </vt:variant>
      <vt:variant>
        <vt:i4>1</vt:i4>
      </vt:variant>
      <vt:variant>
        <vt:lpwstr>transverse.eps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Glacier Data Report</dc:title>
  <dc:subject/>
  <dc:creator>mtruffer</dc:creator>
  <cp:keywords/>
  <dc:description/>
  <cp:lastModifiedBy>Dave Connell</cp:lastModifiedBy>
  <cp:revision>2</cp:revision>
  <dcterms:created xsi:type="dcterms:W3CDTF">2020-12-11T05:13:00Z</dcterms:created>
  <dcterms:modified xsi:type="dcterms:W3CDTF">2020-12-11T05:13:00Z</dcterms:modified>
</cp:coreProperties>
</file>