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4A63C4">
      <w:pPr>
        <w:pStyle w:val="Heading1"/>
        <w:spacing w:after="240" w:line="360" w:lineRule="auto"/>
        <w:jc w:val="both"/>
        <w:rPr>
          <w:sz w:val="22"/>
          <w:u w:val="none"/>
        </w:rPr>
      </w:pPr>
      <w:bookmarkStart w:id="0" w:name="_GoBack"/>
      <w:bookmarkEnd w:id="0"/>
      <w:r>
        <w:rPr>
          <w:sz w:val="22"/>
          <w:u w:val="none"/>
        </w:rPr>
        <w:t>Brown Glacier Data Report</w:t>
      </w:r>
    </w:p>
    <w:p w:rsidR="00000000" w:rsidRDefault="004A63C4">
      <w:r>
        <w:t>Snow accumulation and weather stuff added; very rough figure captions as well</w:t>
      </w:r>
    </w:p>
    <w:p w:rsidR="00000000" w:rsidRDefault="004A63C4">
      <w:r>
        <w:t>Isotope data added</w:t>
      </w:r>
    </w:p>
    <w:p w:rsidR="00000000" w:rsidRDefault="004A63C4">
      <w:r>
        <w:t>Weather comments added to discussion</w:t>
      </w:r>
    </w:p>
    <w:p w:rsidR="00000000" w:rsidRDefault="004A63C4">
      <w:r>
        <w:t>Figures sort of fixed up, but no photos … yet</w:t>
      </w:r>
    </w:p>
    <w:p w:rsidR="00000000" w:rsidRDefault="004A63C4"/>
    <w:p w:rsidR="00000000" w:rsidRDefault="004A63C4">
      <w:pPr>
        <w:pStyle w:val="Heading2"/>
        <w:spacing w:after="240" w:line="360" w:lineRule="auto"/>
        <w:jc w:val="both"/>
        <w:rPr>
          <w:b/>
          <w:bCs/>
          <w:sz w:val="22"/>
          <w:u w:val="none"/>
        </w:rPr>
      </w:pPr>
      <w:r>
        <w:rPr>
          <w:b/>
          <w:bCs/>
          <w:sz w:val="22"/>
          <w:u w:val="none"/>
        </w:rPr>
        <w:t xml:space="preserve">Version </w:t>
      </w:r>
      <w:r>
        <w:rPr>
          <w:b/>
          <w:bCs/>
          <w:sz w:val="22"/>
          <w:u w:val="none"/>
        </w:rPr>
        <w:fldChar w:fldCharType="begin"/>
      </w:r>
      <w:r>
        <w:rPr>
          <w:b/>
          <w:bCs/>
          <w:sz w:val="22"/>
          <w:u w:val="none"/>
        </w:rPr>
        <w:instrText xml:space="preserve"> DATE  \* MERGEFORMAT </w:instrText>
      </w:r>
      <w:r>
        <w:rPr>
          <w:b/>
          <w:bCs/>
          <w:sz w:val="22"/>
          <w:u w:val="none"/>
        </w:rPr>
        <w:fldChar w:fldCharType="separate"/>
      </w:r>
      <w:r>
        <w:rPr>
          <w:b/>
          <w:bCs/>
          <w:noProof/>
          <w:sz w:val="22"/>
          <w:u w:val="none"/>
        </w:rPr>
        <w:t>12/11/2020</w:t>
      </w:r>
      <w:r>
        <w:rPr>
          <w:b/>
          <w:bCs/>
          <w:sz w:val="22"/>
          <w:u w:val="none"/>
        </w:rPr>
        <w:fldChar w:fldCharType="end"/>
      </w:r>
    </w:p>
    <w:p w:rsidR="00000000" w:rsidRDefault="004A63C4">
      <w:pPr>
        <w:pStyle w:val="Heading2"/>
        <w:spacing w:after="240" w:line="360" w:lineRule="auto"/>
        <w:jc w:val="both"/>
        <w:rPr>
          <w:b/>
          <w:bCs/>
          <w:sz w:val="22"/>
          <w:u w:val="none"/>
        </w:rPr>
      </w:pPr>
    </w:p>
    <w:p w:rsidR="00000000" w:rsidRDefault="004A63C4">
      <w:pPr>
        <w:pStyle w:val="Heading2"/>
        <w:spacing w:after="240" w:line="360" w:lineRule="auto"/>
        <w:jc w:val="both"/>
        <w:rPr>
          <w:sz w:val="22"/>
          <w:u w:val="none"/>
        </w:rPr>
      </w:pPr>
      <w:r>
        <w:rPr>
          <w:b/>
          <w:bCs/>
          <w:sz w:val="22"/>
          <w:u w:val="none"/>
        </w:rPr>
        <w:br w:type="page"/>
      </w:r>
      <w:r>
        <w:rPr>
          <w:b/>
          <w:bCs/>
          <w:sz w:val="22"/>
          <w:u w:val="none"/>
        </w:rPr>
        <w:lastRenderedPageBreak/>
        <w:t>INTR</w:t>
      </w:r>
      <w:r>
        <w:rPr>
          <w:b/>
          <w:bCs/>
          <w:sz w:val="22"/>
          <w:u w:val="none"/>
        </w:rPr>
        <w:t>ODUCTION</w:t>
      </w:r>
    </w:p>
    <w:p w:rsidR="00000000" w:rsidRDefault="004A63C4">
      <w:pPr>
        <w:spacing w:after="240" w:line="360" w:lineRule="auto"/>
        <w:jc w:val="both"/>
        <w:rPr>
          <w:sz w:val="22"/>
        </w:rPr>
      </w:pPr>
      <w:r>
        <w:rPr>
          <w:sz w:val="22"/>
        </w:rPr>
        <w:t>This report describes and presents all the data gathered on Brown Glacier on Heard Island in the 2000 field season. The goal of the study is to characterize one of the Heard Island glaciers that is relatively simple in its geometry and easy to wor</w:t>
      </w:r>
      <w:r>
        <w:rPr>
          <w:sz w:val="22"/>
        </w:rPr>
        <w:t>k on. A land terminating glacier was chosen because of the larger expected response to climate change.</w:t>
      </w:r>
    </w:p>
    <w:p w:rsidR="00000000" w:rsidRDefault="004A63C4">
      <w:pPr>
        <w:spacing w:after="240" w:line="360" w:lineRule="auto"/>
        <w:jc w:val="both"/>
        <w:rPr>
          <w:sz w:val="22"/>
        </w:rPr>
      </w:pPr>
      <w:r>
        <w:rPr>
          <w:sz w:val="22"/>
        </w:rPr>
        <w:t>Heard Island is situated in the southern Indian Ocean at 53</w:t>
      </w:r>
      <w:r>
        <w:rPr>
          <w:sz w:val="22"/>
        </w:rPr>
        <w:sym w:font="Symbol" w:char="F0B0"/>
      </w:r>
      <w:r>
        <w:rPr>
          <w:sz w:val="22"/>
        </w:rPr>
        <w:t>05’ S and 73</w:t>
      </w:r>
      <w:r>
        <w:rPr>
          <w:sz w:val="22"/>
        </w:rPr>
        <w:sym w:font="Symbol" w:char="F0B0"/>
      </w:r>
      <w:r>
        <w:rPr>
          <w:sz w:val="22"/>
        </w:rPr>
        <w:t>30’ E, south of the Antarctic Convergence, and is part of the Kerguelen Plateau.</w:t>
      </w:r>
      <w:r>
        <w:rPr>
          <w:sz w:val="22"/>
        </w:rPr>
        <w:t xml:space="preserve"> It is roughly 40 km long and 20 km wide and mainly consists of an active volcano that peaks at 2745 m above sea level. The volume by Banks &amp; Brown (2000) contains the proceedings of a workshop that summarizes most recent work on the island, and contains m</w:t>
      </w:r>
      <w:r>
        <w:rPr>
          <w:sz w:val="22"/>
        </w:rPr>
        <w:t>any useful references.</w:t>
      </w:r>
    </w:p>
    <w:p w:rsidR="00000000" w:rsidRDefault="004A63C4">
      <w:pPr>
        <w:spacing w:after="240" w:line="360" w:lineRule="auto"/>
        <w:jc w:val="both"/>
        <w:rPr>
          <w:sz w:val="22"/>
        </w:rPr>
      </w:pPr>
      <w:r>
        <w:rPr>
          <w:sz w:val="22"/>
        </w:rPr>
        <w:t xml:space="preserve">Brown Glacier flows from an altitude of about 1100 m to about 75 m a.s.l. on the eastern side of the island, near The Spit (Fig. 1). It is presently just over 5 km long. Photographs from 1947 show it to have been an active tidewater </w:t>
      </w:r>
      <w:r>
        <w:rPr>
          <w:sz w:val="22"/>
        </w:rPr>
        <w:t>glacier. It has since retreated by more than 1 km. Figure 2 shows a map of the area with the 1947 and the present day glacier outline.</w:t>
      </w:r>
    </w:p>
    <w:p w:rsidR="00000000" w:rsidRDefault="004A63C4">
      <w:pPr>
        <w:pStyle w:val="Heading2"/>
        <w:spacing w:after="240" w:line="360" w:lineRule="auto"/>
        <w:jc w:val="both"/>
        <w:rPr>
          <w:b/>
          <w:bCs/>
          <w:sz w:val="22"/>
          <w:u w:val="none"/>
        </w:rPr>
      </w:pPr>
      <w:r>
        <w:rPr>
          <w:b/>
          <w:bCs/>
          <w:sz w:val="22"/>
          <w:u w:val="none"/>
        </w:rPr>
        <w:t>METHODS</w:t>
      </w:r>
    </w:p>
    <w:p w:rsidR="00000000" w:rsidRDefault="004A63C4">
      <w:pPr>
        <w:pStyle w:val="Heading2"/>
        <w:spacing w:after="240" w:line="360" w:lineRule="auto"/>
        <w:jc w:val="both"/>
        <w:rPr>
          <w:b/>
          <w:bCs/>
          <w:sz w:val="22"/>
          <w:u w:val="none"/>
        </w:rPr>
      </w:pPr>
      <w:r>
        <w:rPr>
          <w:b/>
          <w:bCs/>
          <w:sz w:val="22"/>
          <w:u w:val="none"/>
        </w:rPr>
        <w:t>GPS Measurements</w:t>
      </w:r>
    </w:p>
    <w:p w:rsidR="00000000" w:rsidRDefault="004A63C4">
      <w:pPr>
        <w:spacing w:after="240" w:line="360" w:lineRule="auto"/>
        <w:jc w:val="both"/>
        <w:rPr>
          <w:sz w:val="22"/>
        </w:rPr>
      </w:pPr>
      <w:r>
        <w:rPr>
          <w:sz w:val="22"/>
        </w:rPr>
        <w:t xml:space="preserve">All the surveying in the 2000 field season was done using GPS methods. A temporary base station </w:t>
      </w:r>
      <w:r>
        <w:rPr>
          <w:sz w:val="22"/>
        </w:rPr>
        <w:t xml:space="preserve">was set up on an isolated rock just east of the location of the temporary hut. The base station was marked with a chiseled and painted cross and a rock cairn. Leica Geosystems </w:t>
      </w:r>
      <w:r>
        <w:rPr>
          <w:sz w:val="20"/>
        </w:rPr>
        <w:t>®</w:t>
      </w:r>
      <w:r>
        <w:rPr>
          <w:sz w:val="22"/>
        </w:rPr>
        <w:t xml:space="preserve"> receivers were used in the field and Ski Pro 1.1 </w:t>
      </w:r>
      <w:r>
        <w:rPr>
          <w:sz w:val="20"/>
        </w:rPr>
        <w:t>®</w:t>
      </w:r>
      <w:r>
        <w:rPr>
          <w:sz w:val="22"/>
        </w:rPr>
        <w:t xml:space="preserve"> software to reduce the data</w:t>
      </w:r>
      <w:r>
        <w:rPr>
          <w:sz w:val="22"/>
        </w:rPr>
        <w:t>. The base station’s location was calculated by solving the baseline to the summer station at Atlas Cove, which AUSLIG calculated to be at 53</w:t>
      </w:r>
      <w:r>
        <w:rPr>
          <w:sz w:val="22"/>
        </w:rPr>
        <w:sym w:font="Symbol" w:char="F0B0"/>
      </w:r>
      <w:r>
        <w:rPr>
          <w:sz w:val="22"/>
        </w:rPr>
        <w:t xml:space="preserve"> 1’ 7.0222” S, 73</w:t>
      </w:r>
      <w:r>
        <w:rPr>
          <w:sz w:val="22"/>
        </w:rPr>
        <w:sym w:font="Symbol" w:char="F0B0"/>
      </w:r>
      <w:r>
        <w:rPr>
          <w:sz w:val="22"/>
        </w:rPr>
        <w:t xml:space="preserve"> 23’ 36.2753” E, 44.2050 m (B. Twilley, pers. comm., January 01). Heights are with reference to </w:t>
      </w:r>
      <w:r>
        <w:rPr>
          <w:sz w:val="22"/>
        </w:rPr>
        <w:t>the WGS84 ellipsoid. Sea level is about 40 m below ellipsoid height at Heard Island. The position of the Brown Glacier local base station was at 53</w:t>
      </w:r>
      <w:r>
        <w:rPr>
          <w:sz w:val="22"/>
        </w:rPr>
        <w:sym w:font="Symbol" w:char="F0B0"/>
      </w:r>
      <w:r>
        <w:rPr>
          <w:sz w:val="22"/>
        </w:rPr>
        <w:t xml:space="preserve"> 4’ 50.6748” S, 73</w:t>
      </w:r>
      <w:r>
        <w:rPr>
          <w:sz w:val="22"/>
        </w:rPr>
        <w:sym w:font="Symbol" w:char="F0B0"/>
      </w:r>
      <w:r>
        <w:rPr>
          <w:sz w:val="22"/>
        </w:rPr>
        <w:t xml:space="preserve"> 40’ 28.3220” E, 68.1100 m.</w:t>
      </w:r>
    </w:p>
    <w:p w:rsidR="00000000" w:rsidRDefault="004A63C4">
      <w:pPr>
        <w:spacing w:after="240" w:line="360" w:lineRule="auto"/>
        <w:jc w:val="both"/>
        <w:rPr>
          <w:sz w:val="22"/>
        </w:rPr>
      </w:pPr>
      <w:r>
        <w:rPr>
          <w:sz w:val="22"/>
        </w:rPr>
        <w:t>We ran half hourly fast static sessions at a total of 19 poin</w:t>
      </w:r>
      <w:r>
        <w:rPr>
          <w:sz w:val="22"/>
        </w:rPr>
        <w:t>ts along a longitudinal profile, and two transverse profiles to determine glacier velocities over two epochs. These sites were all marked with 2.5 m long bamboo poles drilled into the snow and ice. In addition a GPS station was left on the glacier at marke</w:t>
      </w:r>
      <w:r>
        <w:rPr>
          <w:sz w:val="22"/>
        </w:rPr>
        <w:t>r BG35 (Fig. 2) to collect data four times a day. We also recorded several kinematic profiles, along the lagoon shoreline, the moraines, the glacier terminus and on the glacier itself. All those data were reduced to determine the position (latitude/longitu</w:t>
      </w:r>
      <w:r>
        <w:rPr>
          <w:sz w:val="22"/>
        </w:rPr>
        <w:t xml:space="preserve">de/ellipsoid height) in the WGS84 system. They were also transformed into UTM Zone 43 (spheroid GRS80) using the coordinate transformation utility in Ski Pro </w:t>
      </w:r>
      <w:r>
        <w:rPr>
          <w:sz w:val="20"/>
        </w:rPr>
        <w:t>®</w:t>
      </w:r>
      <w:r>
        <w:rPr>
          <w:sz w:val="22"/>
        </w:rPr>
        <w:t>, so they could be compared to an existing DEM of Heard Island. The elevation above sea level was</w:t>
      </w:r>
      <w:r>
        <w:rPr>
          <w:sz w:val="22"/>
        </w:rPr>
        <w:t xml:space="preserve"> obtained by subtracting 40 m off the ellipsoid height; the same procedure had been used in the creation of the DEM.</w:t>
      </w:r>
    </w:p>
    <w:p w:rsidR="00000000" w:rsidRDefault="004A63C4">
      <w:pPr>
        <w:pStyle w:val="Heading3"/>
        <w:spacing w:after="240" w:line="360" w:lineRule="auto"/>
        <w:jc w:val="both"/>
        <w:rPr>
          <w:sz w:val="22"/>
        </w:rPr>
      </w:pPr>
      <w:r>
        <w:rPr>
          <w:sz w:val="22"/>
        </w:rPr>
        <w:t>Lagoon bathymetry</w:t>
      </w:r>
    </w:p>
    <w:p w:rsidR="00000000" w:rsidRDefault="004A63C4">
      <w:pPr>
        <w:spacing w:after="240" w:line="360" w:lineRule="auto"/>
        <w:jc w:val="both"/>
        <w:rPr>
          <w:sz w:val="22"/>
        </w:rPr>
      </w:pPr>
      <w:r>
        <w:rPr>
          <w:sz w:val="22"/>
        </w:rPr>
        <w:t>Some crude spot depths of the proglacial lagoon were obtained from a small raft, using a weighted line. We recorded posit</w:t>
      </w:r>
      <w:r>
        <w:rPr>
          <w:sz w:val="22"/>
        </w:rPr>
        <w:t>ions with a handheld GPS receiver. The lagoon has very steep eastern sides and we recorded a maximum depth of just over 50 m (Fig. 3). The shoreline was surveyed with kinematic GPS methods.</w:t>
      </w:r>
    </w:p>
    <w:p w:rsidR="00000000" w:rsidRDefault="004A63C4">
      <w:pPr>
        <w:pStyle w:val="Heading3"/>
        <w:spacing w:after="240" w:line="360" w:lineRule="auto"/>
        <w:jc w:val="both"/>
        <w:rPr>
          <w:sz w:val="22"/>
        </w:rPr>
      </w:pPr>
      <w:r>
        <w:rPr>
          <w:sz w:val="22"/>
        </w:rPr>
        <w:t>Ice thickness</w:t>
      </w:r>
    </w:p>
    <w:p w:rsidR="00000000" w:rsidRDefault="004A63C4">
      <w:pPr>
        <w:spacing w:after="240" w:line="360" w:lineRule="auto"/>
        <w:jc w:val="both"/>
        <w:rPr>
          <w:sz w:val="22"/>
        </w:rPr>
      </w:pPr>
      <w:r>
        <w:rPr>
          <w:sz w:val="22"/>
        </w:rPr>
        <w:t>Ice thickness was measured with a portable low frequ</w:t>
      </w:r>
      <w:r>
        <w:rPr>
          <w:sz w:val="22"/>
        </w:rPr>
        <w:t>ency radio echo sounding (RES) system (Narod &amp; Clarke, 1994) built by Icefield Instruments Inc. (Whitehorse, Canada). The length of the transmitting antennas determines the frequency of the wave. We used 5 and 10 m dipole antennas, producing frequencies of</w:t>
      </w:r>
      <w:r>
        <w:rPr>
          <w:sz w:val="22"/>
        </w:rPr>
        <w:t xml:space="preserve"> about 8.4 and 4.2 MHz respectively. Most parts of Brown Glacier were less than 100 m thick and the high frequencies gave good returns despite Brown Glacier being temperate. </w:t>
      </w:r>
    </w:p>
    <w:p w:rsidR="00000000" w:rsidRDefault="004A63C4">
      <w:pPr>
        <w:spacing w:after="240" w:line="360" w:lineRule="auto"/>
        <w:jc w:val="both"/>
        <w:rPr>
          <w:sz w:val="22"/>
        </w:rPr>
      </w:pPr>
      <w:r>
        <w:rPr>
          <w:sz w:val="22"/>
        </w:rPr>
        <w:t>A single return cannot be used to unambiguously determine the glacier bed. In fac</w:t>
      </w:r>
      <w:r>
        <w:rPr>
          <w:sz w:val="22"/>
        </w:rPr>
        <w:t>t, all possible reflection points define an ellipsoid. It is customary to assume that the reflections are within a plane perpendicular to the glacier surface. This is reasonable if the profiles are in a transverse direction in a fairly simple valley glacie</w:t>
      </w:r>
      <w:r>
        <w:rPr>
          <w:sz w:val="22"/>
        </w:rPr>
        <w:t>r geometry. The bed is defined by an envelope to a number of return ellipses (Fig. 4).</w:t>
      </w:r>
    </w:p>
    <w:p w:rsidR="00000000" w:rsidRDefault="004A63C4">
      <w:pPr>
        <w:spacing w:after="240" w:line="360" w:lineRule="auto"/>
        <w:jc w:val="both"/>
        <w:rPr>
          <w:sz w:val="22"/>
        </w:rPr>
      </w:pPr>
      <w:r>
        <w:rPr>
          <w:sz w:val="22"/>
        </w:rPr>
        <w:t xml:space="preserve">We recorded one detailed profile at BG35 and several spot depths along the glacier (Fig. 4). The greatest measured depth on Brown Glacier is 123 m. The profile position </w:t>
      </w:r>
      <w:r>
        <w:rPr>
          <w:sz w:val="22"/>
        </w:rPr>
        <w:t>on the glacier surface was determined with kinematic GPS methods (see above).</w:t>
      </w:r>
    </w:p>
    <w:p w:rsidR="00000000" w:rsidRDefault="004A63C4">
      <w:pPr>
        <w:pStyle w:val="Heading1"/>
        <w:spacing w:after="240" w:line="360" w:lineRule="auto"/>
        <w:jc w:val="both"/>
        <w:rPr>
          <w:sz w:val="22"/>
          <w:u w:val="none"/>
        </w:rPr>
      </w:pPr>
      <w:r>
        <w:rPr>
          <w:sz w:val="22"/>
          <w:u w:val="none"/>
        </w:rPr>
        <w:t>Snow Accumulation</w:t>
      </w:r>
    </w:p>
    <w:p w:rsidR="00000000" w:rsidRDefault="004A63C4">
      <w:pPr>
        <w:spacing w:after="240" w:line="360" w:lineRule="auto"/>
        <w:jc w:val="both"/>
        <w:rPr>
          <w:sz w:val="22"/>
        </w:rPr>
      </w:pPr>
      <w:r>
        <w:rPr>
          <w:sz w:val="22"/>
        </w:rPr>
        <w:t>Snow accumulation at the glacier sites was recorded using the 2.5 m long bamboo poles, with 1.5 m secondary poles as a backup placed about 3 m to the north of t</w:t>
      </w:r>
      <w:r>
        <w:rPr>
          <w:sz w:val="22"/>
        </w:rPr>
        <w:t>he main pole. The height of each pole above the snow surface was measured to the nearest 0.5 cm. Measurements were made on an opportunistic basis, usually in association with GPS surveys, between the 23</w:t>
      </w:r>
      <w:r>
        <w:rPr>
          <w:sz w:val="22"/>
          <w:vertAlign w:val="superscript"/>
        </w:rPr>
        <w:t>rd</w:t>
      </w:r>
      <w:r>
        <w:rPr>
          <w:sz w:val="22"/>
        </w:rPr>
        <w:t xml:space="preserve"> October and the 25</w:t>
      </w:r>
      <w:r>
        <w:rPr>
          <w:sz w:val="22"/>
          <w:vertAlign w:val="superscript"/>
        </w:rPr>
        <w:t>th</w:t>
      </w:r>
      <w:r>
        <w:rPr>
          <w:sz w:val="22"/>
        </w:rPr>
        <w:t xml:space="preserve"> November 2000. Other ANARE exp</w:t>
      </w:r>
      <w:r>
        <w:rPr>
          <w:sz w:val="22"/>
        </w:rPr>
        <w:t>editioners remeasured the poles along the longitudinal profile on the 12</w:t>
      </w:r>
      <w:r>
        <w:rPr>
          <w:sz w:val="22"/>
          <w:vertAlign w:val="superscript"/>
        </w:rPr>
        <w:t>th</w:t>
      </w:r>
      <w:r>
        <w:rPr>
          <w:sz w:val="22"/>
        </w:rPr>
        <w:t xml:space="preserve"> January 2001.</w:t>
      </w:r>
    </w:p>
    <w:p w:rsidR="00000000" w:rsidRDefault="004A63C4">
      <w:pPr>
        <w:spacing w:after="240" w:line="360" w:lineRule="auto"/>
        <w:jc w:val="both"/>
        <w:rPr>
          <w:sz w:val="22"/>
        </w:rPr>
      </w:pPr>
      <w:r>
        <w:rPr>
          <w:sz w:val="22"/>
        </w:rPr>
        <w:t>Additionally, snow accumulation at BG35 was measured every half hour using a downward facing sonic ranger (Campbell Scientific, SR50) between the 31</w:t>
      </w:r>
      <w:r>
        <w:rPr>
          <w:sz w:val="22"/>
          <w:vertAlign w:val="superscript"/>
        </w:rPr>
        <w:t>st</w:t>
      </w:r>
      <w:r>
        <w:rPr>
          <w:sz w:val="22"/>
        </w:rPr>
        <w:t xml:space="preserve"> October (when th</w:t>
      </w:r>
      <w:r>
        <w:rPr>
          <w:sz w:val="22"/>
        </w:rPr>
        <w:t>e ranger was properly braced against the effects of wind) and the 25</w:t>
      </w:r>
      <w:r>
        <w:rPr>
          <w:sz w:val="22"/>
          <w:vertAlign w:val="superscript"/>
        </w:rPr>
        <w:t>th</w:t>
      </w:r>
      <w:r>
        <w:rPr>
          <w:sz w:val="22"/>
        </w:rPr>
        <w:t xml:space="preserve"> November.</w:t>
      </w:r>
    </w:p>
    <w:p w:rsidR="00000000" w:rsidRDefault="004A63C4">
      <w:pPr>
        <w:spacing w:after="240" w:line="360" w:lineRule="auto"/>
        <w:jc w:val="both"/>
        <w:rPr>
          <w:sz w:val="22"/>
        </w:rPr>
      </w:pPr>
      <w:r>
        <w:rPr>
          <w:sz w:val="22"/>
        </w:rPr>
        <w:t>On 31</w:t>
      </w:r>
      <w:r>
        <w:rPr>
          <w:sz w:val="22"/>
          <w:vertAlign w:val="superscript"/>
        </w:rPr>
        <w:t>st</w:t>
      </w:r>
      <w:r>
        <w:rPr>
          <w:sz w:val="22"/>
        </w:rPr>
        <w:t xml:space="preserve"> October we measured temperature and density in a snowpit at BG35. We also collected samples for </w:t>
      </w:r>
      <w:r>
        <w:rPr>
          <w:sz w:val="22"/>
        </w:rPr>
        <w:sym w:font="Symbol" w:char="F064"/>
      </w:r>
      <w:r>
        <w:rPr>
          <w:sz w:val="22"/>
        </w:rPr>
        <w:t>O</w:t>
      </w:r>
      <w:r>
        <w:rPr>
          <w:vertAlign w:val="superscript"/>
        </w:rPr>
        <w:t>18</w:t>
      </w:r>
      <w:r>
        <w:rPr>
          <w:sz w:val="22"/>
        </w:rPr>
        <w:t xml:space="preserve"> isotope analysis. Additional samples for isotope analysis were col</w:t>
      </w:r>
      <w:r>
        <w:rPr>
          <w:sz w:val="22"/>
        </w:rPr>
        <w:t>lected in a crevasse at an altitude of about 1050 m.</w:t>
      </w:r>
    </w:p>
    <w:p w:rsidR="00000000" w:rsidRDefault="004A63C4">
      <w:pPr>
        <w:pStyle w:val="Heading1"/>
        <w:spacing w:after="240" w:line="360" w:lineRule="auto"/>
        <w:jc w:val="both"/>
        <w:rPr>
          <w:sz w:val="22"/>
          <w:u w:val="none"/>
        </w:rPr>
      </w:pPr>
      <w:r>
        <w:rPr>
          <w:sz w:val="22"/>
          <w:u w:val="none"/>
        </w:rPr>
        <w:t>Weather</w:t>
      </w:r>
    </w:p>
    <w:p w:rsidR="00000000" w:rsidRDefault="004A63C4">
      <w:pPr>
        <w:spacing w:after="240" w:line="360" w:lineRule="auto"/>
        <w:jc w:val="both"/>
        <w:rPr>
          <w:sz w:val="22"/>
        </w:rPr>
      </w:pPr>
      <w:r>
        <w:rPr>
          <w:sz w:val="22"/>
        </w:rPr>
        <w:t>A temporary Automatic Weather Station (AWS) was erected at BG35 (referred to as the glacier AWS), and operated continuously between 29</w:t>
      </w:r>
      <w:r>
        <w:rPr>
          <w:sz w:val="22"/>
          <w:vertAlign w:val="superscript"/>
        </w:rPr>
        <w:t>th</w:t>
      </w:r>
      <w:r>
        <w:rPr>
          <w:sz w:val="22"/>
        </w:rPr>
        <w:t xml:space="preserve"> October and 25</w:t>
      </w:r>
      <w:r>
        <w:rPr>
          <w:sz w:val="22"/>
          <w:vertAlign w:val="superscript"/>
        </w:rPr>
        <w:t>th</w:t>
      </w:r>
      <w:r>
        <w:rPr>
          <w:sz w:val="22"/>
        </w:rPr>
        <w:t xml:space="preserve"> November. Half hourly observations of tem</w:t>
      </w:r>
      <w:r>
        <w:rPr>
          <w:sz w:val="22"/>
        </w:rPr>
        <w:t>perature, relative humidity, wind speed (half hour average and maximum gust) and wind direction were measured. A more permanent installation consisting of</w:t>
      </w:r>
      <w:r>
        <w:rPr>
          <w:sz w:val="22"/>
        </w:rPr>
        <w:t xml:space="preserve"> a 4 m high aluminium tower was erected at 73˚ 38.424’ E, 53˚ 5.402’ S on the 31</w:t>
      </w:r>
      <w:r>
        <w:rPr>
          <w:sz w:val="22"/>
          <w:vertAlign w:val="superscript"/>
        </w:rPr>
        <w:t>st</w:t>
      </w:r>
      <w:r>
        <w:rPr>
          <w:sz w:val="22"/>
        </w:rPr>
        <w:t xml:space="preserve"> October on a rocky outcrop ~550 m a.s.l. (approximately 400 m south of the Brown Glacier, and referred to as the rock AWS). Hourly average temperatures at 2 m and 4 m above </w:t>
      </w:r>
      <w:r>
        <w:rPr>
          <w:sz w:val="22"/>
        </w:rPr>
        <w:t>ground level, relative humidity, wind speed at 4 m (hourly average only) and wind direction, and total solar radiation are recorded, and results uploaded to an ARGOS satellite when possible.</w:t>
      </w:r>
    </w:p>
    <w:p w:rsidR="00000000" w:rsidRDefault="004A63C4">
      <w:pPr>
        <w:spacing w:after="240" w:line="360" w:lineRule="auto"/>
        <w:jc w:val="both"/>
        <w:rPr>
          <w:sz w:val="22"/>
        </w:rPr>
      </w:pPr>
      <w:r>
        <w:rPr>
          <w:sz w:val="22"/>
        </w:rPr>
        <w:t>Problems were initially experienced with the rock AWS Wind Direct</w:t>
      </w:r>
      <w:r>
        <w:rPr>
          <w:sz w:val="22"/>
        </w:rPr>
        <w:t>ion sensor, however this was apparently fixed on the 6</w:t>
      </w:r>
      <w:r>
        <w:rPr>
          <w:sz w:val="22"/>
          <w:vertAlign w:val="superscript"/>
        </w:rPr>
        <w:t>th</w:t>
      </w:r>
      <w:r>
        <w:rPr>
          <w:sz w:val="22"/>
        </w:rPr>
        <w:t xml:space="preserve"> November. Unfortunately at the time of writing (March 2001) the 4 m temperature sensor has failed, and the wind speed and wind direction sensors are providing only intermittent results.</w:t>
      </w:r>
    </w:p>
    <w:p w:rsidR="00000000" w:rsidRDefault="004A63C4">
      <w:pPr>
        <w:pStyle w:val="Heading3"/>
        <w:spacing w:after="240" w:line="360" w:lineRule="auto"/>
        <w:jc w:val="both"/>
        <w:rPr>
          <w:sz w:val="22"/>
        </w:rPr>
      </w:pPr>
      <w:r>
        <w:rPr>
          <w:sz w:val="22"/>
        </w:rPr>
        <w:t>RESULTS</w:t>
      </w:r>
    </w:p>
    <w:p w:rsidR="00000000" w:rsidRDefault="004A63C4">
      <w:pPr>
        <w:pStyle w:val="Heading2"/>
        <w:spacing w:after="240" w:line="360" w:lineRule="auto"/>
        <w:jc w:val="both"/>
        <w:rPr>
          <w:b/>
          <w:bCs/>
          <w:sz w:val="22"/>
          <w:u w:val="none"/>
        </w:rPr>
      </w:pPr>
      <w:r>
        <w:rPr>
          <w:b/>
          <w:bCs/>
          <w:sz w:val="22"/>
          <w:u w:val="none"/>
        </w:rPr>
        <w:t>Horiz</w:t>
      </w:r>
      <w:r>
        <w:rPr>
          <w:b/>
          <w:bCs/>
          <w:sz w:val="22"/>
          <w:u w:val="none"/>
        </w:rPr>
        <w:t>ontal velocity</w:t>
      </w:r>
    </w:p>
    <w:p w:rsidR="00000000" w:rsidRDefault="004A63C4">
      <w:pPr>
        <w:spacing w:after="240" w:line="360" w:lineRule="auto"/>
        <w:jc w:val="both"/>
        <w:rPr>
          <w:sz w:val="22"/>
        </w:rPr>
      </w:pPr>
      <w:r>
        <w:rPr>
          <w:sz w:val="22"/>
        </w:rPr>
        <w:t>Figure 5 shows the velocity vectors obtained at all index sites over two epochs (27-28</w:t>
      </w:r>
      <w:r>
        <w:rPr>
          <w:sz w:val="22"/>
          <w:vertAlign w:val="superscript"/>
        </w:rPr>
        <w:t>th</w:t>
      </w:r>
      <w:r>
        <w:rPr>
          <w:sz w:val="22"/>
        </w:rPr>
        <w:t xml:space="preserve"> October to 7-9</w:t>
      </w:r>
      <w:r>
        <w:rPr>
          <w:sz w:val="22"/>
          <w:vertAlign w:val="superscript"/>
        </w:rPr>
        <w:t>th</w:t>
      </w:r>
      <w:r>
        <w:rPr>
          <w:sz w:val="22"/>
        </w:rPr>
        <w:t xml:space="preserve"> November and 7-9</w:t>
      </w:r>
      <w:r>
        <w:rPr>
          <w:sz w:val="22"/>
          <w:vertAlign w:val="superscript"/>
        </w:rPr>
        <w:t>th</w:t>
      </w:r>
      <w:r>
        <w:rPr>
          <w:sz w:val="22"/>
        </w:rPr>
        <w:t xml:space="preserve"> November to 21</w:t>
      </w:r>
      <w:r>
        <w:rPr>
          <w:sz w:val="22"/>
          <w:vertAlign w:val="superscript"/>
        </w:rPr>
        <w:t>st</w:t>
      </w:r>
      <w:r>
        <w:rPr>
          <w:sz w:val="22"/>
        </w:rPr>
        <w:t>-22</w:t>
      </w:r>
      <w:r>
        <w:rPr>
          <w:sz w:val="22"/>
          <w:vertAlign w:val="superscript"/>
        </w:rPr>
        <w:t>nd</w:t>
      </w:r>
      <w:r>
        <w:rPr>
          <w:sz w:val="22"/>
        </w:rPr>
        <w:t xml:space="preserve">  November). The index sites were named BG05 at the head of the glacier to BG50 at the terminus</w:t>
      </w:r>
      <w:r>
        <w:rPr>
          <w:sz w:val="22"/>
        </w:rPr>
        <w:t xml:space="preserve"> and are separated by approximately 500 m (Fig. 2). The circles attached to the velocity vectors indicate estimated errors. With the exception of BG20 and BG25, all velocities are equal over the two epochs within the estimated error. At BG20 and BG25 flow </w:t>
      </w:r>
      <w:r>
        <w:rPr>
          <w:sz w:val="22"/>
        </w:rPr>
        <w:t>directions differ in a way that is not within the expected GPS error, but seems unrealistic anyway. The BG05 velocity could be in error by as much as 0.03 m.d</w:t>
      </w:r>
      <w:r>
        <w:rPr>
          <w:sz w:val="22"/>
          <w:vertAlign w:val="superscript"/>
        </w:rPr>
        <w:t>-1</w:t>
      </w:r>
      <w:r>
        <w:rPr>
          <w:sz w:val="22"/>
        </w:rPr>
        <w:t>, because the pole tilted substantially.</w:t>
      </w:r>
    </w:p>
    <w:p w:rsidR="00000000" w:rsidRDefault="004A63C4">
      <w:pPr>
        <w:spacing w:after="240" w:line="360" w:lineRule="auto"/>
        <w:jc w:val="both"/>
        <w:rPr>
          <w:sz w:val="22"/>
        </w:rPr>
      </w:pPr>
      <w:r>
        <w:rPr>
          <w:sz w:val="22"/>
        </w:rPr>
        <w:t xml:space="preserve">Figure 6 shows the velocity magnitude as a function of </w:t>
      </w:r>
      <w:r>
        <w:rPr>
          <w:sz w:val="22"/>
        </w:rPr>
        <w:t>distance along an approximate flowline. The measured speeds are the same within the margin of error over the two epochs. There are no indications of a speed up as spring approaches. On the other hand, the first signs of widespread melting did not occur dur</w:t>
      </w:r>
      <w:r>
        <w:rPr>
          <w:sz w:val="22"/>
        </w:rPr>
        <w:t>ing these observation periods.</w:t>
      </w:r>
    </w:p>
    <w:p w:rsidR="00000000" w:rsidRDefault="004A63C4">
      <w:pPr>
        <w:spacing w:after="240" w:line="360" w:lineRule="auto"/>
        <w:jc w:val="both"/>
        <w:rPr>
          <w:sz w:val="22"/>
        </w:rPr>
      </w:pPr>
      <w:r>
        <w:rPr>
          <w:sz w:val="22"/>
        </w:rPr>
        <w:t>Two transverse velocity profiles were measured, one at BG35 and one at BG40 (Fig. 7). Their purpose was to get a better estimate of the total ice flux near the equilibrium line. The BG35 profile was chosen because it was less</w:t>
      </w:r>
      <w:r>
        <w:rPr>
          <w:sz w:val="22"/>
        </w:rPr>
        <w:t xml:space="preserve"> crevassed and easier to work at. The transverse profiles show that the fastest moving ice is somewhat to the East of the chosen index sites. The radar surveys also show that the deepest part of the channel is situated to the East of the BG35 index site (F</w:t>
      </w:r>
      <w:r>
        <w:rPr>
          <w:sz w:val="22"/>
        </w:rPr>
        <w:t xml:space="preserve">ig. 4b). </w:t>
      </w:r>
    </w:p>
    <w:p w:rsidR="00000000" w:rsidRDefault="004A63C4">
      <w:pPr>
        <w:spacing w:after="240" w:line="360" w:lineRule="auto"/>
        <w:jc w:val="both"/>
        <w:rPr>
          <w:sz w:val="22"/>
        </w:rPr>
      </w:pPr>
      <w:r>
        <w:rPr>
          <w:sz w:val="22"/>
        </w:rPr>
        <w:t>One GPS station was left near the BG35 index site to record data four times daily. There are substantial data gaps due to power supply problems. The calculated velocity is shown in Figure 8. It has a relatively large error because of the short ti</w:t>
      </w:r>
      <w:r>
        <w:rPr>
          <w:sz w:val="22"/>
        </w:rPr>
        <w:t>mes between most observations. The velocity is constant within the error margins and does not show any diurnal variations, or a consistent increase with time. The average horizontal velocity was 0.117 m.d</w:t>
      </w:r>
      <w:r>
        <w:rPr>
          <w:sz w:val="22"/>
          <w:vertAlign w:val="superscript"/>
        </w:rPr>
        <w:t>-1</w:t>
      </w:r>
      <w:r>
        <w:rPr>
          <w:sz w:val="22"/>
        </w:rPr>
        <w:t>, in good agreement with the velocity shown in Fig</w:t>
      </w:r>
      <w:r>
        <w:rPr>
          <w:sz w:val="22"/>
        </w:rPr>
        <w:t>ure 6.</w:t>
      </w:r>
    </w:p>
    <w:p w:rsidR="00000000" w:rsidRDefault="004A63C4">
      <w:pPr>
        <w:pStyle w:val="Heading2"/>
        <w:spacing w:after="240" w:line="360" w:lineRule="auto"/>
        <w:jc w:val="both"/>
        <w:rPr>
          <w:b/>
          <w:bCs/>
          <w:sz w:val="22"/>
          <w:u w:val="none"/>
        </w:rPr>
      </w:pPr>
      <w:r>
        <w:rPr>
          <w:b/>
          <w:bCs/>
          <w:sz w:val="22"/>
          <w:u w:val="none"/>
        </w:rPr>
        <w:t>Vertical velocity</w:t>
      </w:r>
    </w:p>
    <w:p w:rsidR="00000000" w:rsidRDefault="004A63C4">
      <w:pPr>
        <w:spacing w:after="240" w:line="360" w:lineRule="auto"/>
        <w:jc w:val="both"/>
        <w:rPr>
          <w:sz w:val="22"/>
        </w:rPr>
      </w:pPr>
      <w:r>
        <w:rPr>
          <w:sz w:val="22"/>
        </w:rPr>
        <w:t xml:space="preserve">The vertical velocity </w:t>
      </w:r>
      <w:r>
        <w:rPr>
          <w:position w:val="-12"/>
          <w:sz w:val="22"/>
        </w:rPr>
        <w:object w:dxaOrig="42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pt;height:18pt" o:ole="">
            <v:imagedata r:id="rId4" o:title=""/>
          </v:shape>
          <o:OLEObject Type="Embed" ProgID="Equation.3" ShapeID="_x0000_i1025" DrawAspect="Content" ObjectID="_1669208308" r:id="rId5"/>
        </w:object>
      </w:r>
      <w:r>
        <w:rPr>
          <w:sz w:val="22"/>
        </w:rPr>
        <w:t xml:space="preserve"> can be divided into several components. It is useful to remove the component due to the downslope movement. This leads to the emergence velocity (Paterson, 1994):</w:t>
      </w:r>
    </w:p>
    <w:p w:rsidR="00000000" w:rsidRDefault="004A63C4">
      <w:pPr>
        <w:spacing w:after="240" w:line="360" w:lineRule="auto"/>
        <w:ind w:firstLine="720"/>
        <w:jc w:val="both"/>
        <w:rPr>
          <w:sz w:val="22"/>
        </w:rPr>
      </w:pPr>
      <w:r>
        <w:rPr>
          <w:position w:val="-14"/>
          <w:sz w:val="22"/>
        </w:rPr>
        <w:object w:dxaOrig="2380" w:dyaOrig="380">
          <v:shape id="_x0000_i1026" type="#_x0000_t75" style="width:118.8pt;height:19.2pt" o:ole="">
            <v:imagedata r:id="rId6" o:title=""/>
          </v:shape>
          <o:OLEObject Type="Embed" ProgID="Equation.3" ShapeID="_x0000_i1026" DrawAspect="Content" ObjectID="_1669208309" r:id="rId7"/>
        </w:object>
      </w:r>
      <w:r>
        <w:rPr>
          <w:sz w:val="22"/>
        </w:rPr>
        <w:tab/>
      </w:r>
      <w:r>
        <w:rPr>
          <w:sz w:val="22"/>
        </w:rPr>
        <w:tab/>
      </w:r>
      <w:r>
        <w:rPr>
          <w:sz w:val="22"/>
        </w:rPr>
        <w:tab/>
      </w:r>
      <w:r>
        <w:rPr>
          <w:sz w:val="22"/>
        </w:rPr>
        <w:tab/>
      </w:r>
      <w:r>
        <w:rPr>
          <w:sz w:val="22"/>
        </w:rPr>
        <w:tab/>
      </w:r>
      <w:r>
        <w:rPr>
          <w:sz w:val="22"/>
        </w:rPr>
        <w:tab/>
      </w:r>
      <w:r>
        <w:rPr>
          <w:sz w:val="22"/>
        </w:rPr>
        <w:tab/>
        <w:t>(1)</w:t>
      </w:r>
    </w:p>
    <w:p w:rsidR="00000000" w:rsidRDefault="004A63C4">
      <w:pPr>
        <w:spacing w:after="240" w:line="360" w:lineRule="auto"/>
        <w:jc w:val="both"/>
        <w:rPr>
          <w:sz w:val="22"/>
        </w:rPr>
      </w:pPr>
      <w:r>
        <w:rPr>
          <w:sz w:val="22"/>
        </w:rPr>
        <w:t xml:space="preserve">where </w:t>
      </w:r>
      <w:r>
        <w:rPr>
          <w:sz w:val="22"/>
        </w:rPr>
        <w:sym w:font="Symbol" w:char="F061"/>
      </w:r>
      <w:r>
        <w:rPr>
          <w:sz w:val="22"/>
        </w:rPr>
        <w:t xml:space="preserve"> is the local surface slope, and </w:t>
      </w:r>
      <w:r>
        <w:rPr>
          <w:position w:val="-12"/>
          <w:sz w:val="22"/>
        </w:rPr>
        <w:object w:dxaOrig="400" w:dyaOrig="360">
          <v:shape id="_x0000_i1027" type="#_x0000_t75" style="width:19.8pt;height:18pt" o:ole="">
            <v:imagedata r:id="rId8" o:title=""/>
          </v:shape>
          <o:OLEObject Type="Embed" ProgID="Equation.3" ShapeID="_x0000_i1027" DrawAspect="Content" ObjectID="_1669208310" r:id="rId9"/>
        </w:object>
      </w:r>
      <w:r>
        <w:rPr>
          <w:sz w:val="22"/>
        </w:rPr>
        <w:t xml:space="preserve">the horizontal velocity. The emergence velocity is the combined effect of surface changes, </w:t>
      </w:r>
      <w:r>
        <w:rPr>
          <w:position w:val="-6"/>
          <w:sz w:val="22"/>
        </w:rPr>
        <w:object w:dxaOrig="660" w:dyaOrig="279">
          <v:shape id="_x0000_i1028" type="#_x0000_t75" style="width:33pt;height:13.8pt" o:ole="">
            <v:imagedata r:id="rId10" o:title=""/>
          </v:shape>
          <o:OLEObject Type="Embed" ProgID="Equation.3" ShapeID="_x0000_i1028" DrawAspect="Content" ObjectID="_1669208311" r:id="rId11"/>
        </w:object>
      </w:r>
      <w:r>
        <w:rPr>
          <w:sz w:val="22"/>
        </w:rPr>
        <w:t xml:space="preserve">, and mass balance, </w:t>
      </w:r>
      <w:r>
        <w:rPr>
          <w:position w:val="-6"/>
          <w:sz w:val="22"/>
        </w:rPr>
        <w:object w:dxaOrig="200" w:dyaOrig="340">
          <v:shape id="_x0000_i1029" type="#_x0000_t75" style="width:10.2pt;height:16.8pt" o:ole="">
            <v:imagedata r:id="rId12" o:title=""/>
          </v:shape>
          <o:OLEObject Type="Embed" ProgID="Equation.3" ShapeID="_x0000_i1029" DrawAspect="Content" ObjectID="_1669208312" r:id="rId13"/>
        </w:object>
      </w:r>
      <w:r>
        <w:rPr>
          <w:sz w:val="22"/>
        </w:rPr>
        <w:t xml:space="preserve">, if it is assumed that </w:t>
      </w:r>
      <w:r>
        <w:rPr>
          <w:sz w:val="22"/>
        </w:rPr>
        <w:t>the bed perpendicular component of the basal velocity is negligible (Paterson, 1994):</w:t>
      </w:r>
    </w:p>
    <w:p w:rsidR="00000000" w:rsidRDefault="004A63C4">
      <w:pPr>
        <w:spacing w:after="240" w:line="360" w:lineRule="auto"/>
        <w:ind w:firstLine="720"/>
        <w:jc w:val="both"/>
        <w:rPr>
          <w:sz w:val="22"/>
        </w:rPr>
      </w:pPr>
      <w:r>
        <w:rPr>
          <w:position w:val="-14"/>
          <w:sz w:val="22"/>
        </w:rPr>
        <w:object w:dxaOrig="1760" w:dyaOrig="520">
          <v:shape id="_x0000_i1030" type="#_x0000_t75" style="width:88.2pt;height:25.8pt" o:ole="">
            <v:imagedata r:id="rId14" o:title=""/>
          </v:shape>
          <o:OLEObject Type="Embed" ProgID="Equation.3" ShapeID="_x0000_i1030" DrawAspect="Content" ObjectID="_1669208313" r:id="rId15"/>
        </w:object>
      </w:r>
      <w:r>
        <w:rPr>
          <w:sz w:val="22"/>
        </w:rPr>
        <w:tab/>
      </w:r>
      <w:r>
        <w:rPr>
          <w:sz w:val="22"/>
        </w:rPr>
        <w:tab/>
      </w:r>
      <w:r>
        <w:rPr>
          <w:sz w:val="22"/>
        </w:rPr>
        <w:tab/>
      </w:r>
      <w:r>
        <w:rPr>
          <w:sz w:val="22"/>
        </w:rPr>
        <w:tab/>
      </w:r>
      <w:r>
        <w:rPr>
          <w:sz w:val="22"/>
        </w:rPr>
        <w:tab/>
      </w:r>
      <w:r>
        <w:rPr>
          <w:sz w:val="22"/>
        </w:rPr>
        <w:tab/>
      </w:r>
      <w:r>
        <w:rPr>
          <w:sz w:val="22"/>
        </w:rPr>
        <w:tab/>
      </w:r>
      <w:r>
        <w:rPr>
          <w:sz w:val="22"/>
        </w:rPr>
        <w:tab/>
        <w:t>(2)</w:t>
      </w:r>
    </w:p>
    <w:p w:rsidR="00000000" w:rsidRDefault="004A63C4">
      <w:pPr>
        <w:spacing w:after="240" w:line="360" w:lineRule="auto"/>
        <w:jc w:val="both"/>
        <w:rPr>
          <w:sz w:val="22"/>
        </w:rPr>
      </w:pPr>
      <w:r>
        <w:rPr>
          <w:sz w:val="22"/>
        </w:rPr>
        <w:t>In steady state the emergence velocity should be equal and opposite in sign to the mass balance, i.e. negative in the accumulation area</w:t>
      </w:r>
      <w:r>
        <w:rPr>
          <w:sz w:val="22"/>
        </w:rPr>
        <w:t xml:space="preserve"> and positive in the ablation area. An emergence velocity in excess of -</w:t>
      </w:r>
      <w:r>
        <w:rPr>
          <w:position w:val="-6"/>
          <w:sz w:val="22"/>
        </w:rPr>
        <w:object w:dxaOrig="200" w:dyaOrig="340">
          <v:shape id="_x0000_i1031" type="#_x0000_t75" style="width:10.2pt;height:16.8pt" o:ole="">
            <v:imagedata r:id="rId16" o:title=""/>
          </v:shape>
          <o:OLEObject Type="Embed" ProgID="Equation.3" ShapeID="_x0000_i1031" DrawAspect="Content" ObjectID="_1669208314" r:id="rId17"/>
        </w:object>
      </w:r>
      <w:r>
        <w:rPr>
          <w:sz w:val="22"/>
        </w:rPr>
        <w:t xml:space="preserve"> means the surface is rising. Unfortunately, we know little about the mass balance of Brown Glacier. Even the position of the equilibrium line (i.e. </w:t>
      </w:r>
      <w:r>
        <w:rPr>
          <w:position w:val="-6"/>
          <w:sz w:val="22"/>
        </w:rPr>
        <w:object w:dxaOrig="200" w:dyaOrig="340">
          <v:shape id="_x0000_i1032" type="#_x0000_t75" style="width:10.2pt;height:16.8pt" o:ole="">
            <v:imagedata r:id="rId16" o:title=""/>
          </v:shape>
          <o:OLEObject Type="Embed" ProgID="Equation.3" ShapeID="_x0000_i1032" DrawAspect="Content" ObjectID="_1669208315" r:id="rId18"/>
        </w:object>
      </w:r>
      <w:r>
        <w:rPr>
          <w:sz w:val="22"/>
        </w:rPr>
        <w:t>= 0) is poorly known, but we expect it to be above 600 m a.s.l. Figure 9 shows emergence velocities calculated at the index sites, using Equation (1) and surface slopes obtained from kinematic GPS profiles. The error indicated in the figure is d</w:t>
      </w:r>
      <w:r>
        <w:rPr>
          <w:sz w:val="22"/>
        </w:rPr>
        <w:t>erived from an assumed 10 cm error in the surveyed vertical position of the markers.</w:t>
      </w:r>
    </w:p>
    <w:p w:rsidR="00000000" w:rsidRDefault="004A63C4">
      <w:pPr>
        <w:spacing w:after="240" w:line="360" w:lineRule="auto"/>
        <w:jc w:val="both"/>
        <w:rPr>
          <w:sz w:val="22"/>
        </w:rPr>
      </w:pPr>
      <w:r>
        <w:rPr>
          <w:sz w:val="22"/>
        </w:rPr>
        <w:t xml:space="preserve">The GPS station operating four times daily at BG35 yielded an emergence velocity of -9.5 </w:t>
      </w:r>
      <w:r>
        <w:rPr>
          <w:sz w:val="22"/>
        </w:rPr>
        <w:sym w:font="Symbol" w:char="F0B1"/>
      </w:r>
      <w:r>
        <w:rPr>
          <w:sz w:val="22"/>
        </w:rPr>
        <w:t xml:space="preserve"> 2.0 m.a</w:t>
      </w:r>
      <w:r>
        <w:rPr>
          <w:vertAlign w:val="superscript"/>
        </w:rPr>
        <w:t>-1</w:t>
      </w:r>
      <w:r>
        <w:rPr>
          <w:sz w:val="22"/>
        </w:rPr>
        <w:t xml:space="preserve">, which is somewhat more negative than that shown in Figure 6. This is </w:t>
      </w:r>
      <w:r>
        <w:rPr>
          <w:sz w:val="22"/>
        </w:rPr>
        <w:t>likely due to sinking of the relatively heavy GPS/weather station assembly into the ice, creating an additional downward velocity component. The bamboo poles should not be affected by this.</w:t>
      </w:r>
    </w:p>
    <w:p w:rsidR="00000000" w:rsidRDefault="004A63C4">
      <w:pPr>
        <w:spacing w:after="240" w:line="360" w:lineRule="auto"/>
        <w:jc w:val="both"/>
        <w:rPr>
          <w:sz w:val="22"/>
        </w:rPr>
      </w:pPr>
      <w:r>
        <w:rPr>
          <w:sz w:val="22"/>
        </w:rPr>
        <w:t>On 31 October we dug a snowpit at BG35 and recorded an ice equival</w:t>
      </w:r>
      <w:r>
        <w:rPr>
          <w:sz w:val="22"/>
        </w:rPr>
        <w:t>ent winter accumulation of 0.7 m. There was more accumulation later in that season, but not a substantial amount. This leaves at least 3 m.a</w:t>
      </w:r>
      <w:r>
        <w:rPr>
          <w:vertAlign w:val="superscript"/>
        </w:rPr>
        <w:t>-1</w:t>
      </w:r>
      <w:r>
        <w:rPr>
          <w:sz w:val="22"/>
        </w:rPr>
        <w:t xml:space="preserve"> of surface lowering at that particular site. The general picture of Figure 6 indicates a glacier thickening in th</w:t>
      </w:r>
      <w:r>
        <w:rPr>
          <w:sz w:val="22"/>
        </w:rPr>
        <w:t>e upper area of Brown Glacier and a glacier thinning in its lower area.</w:t>
      </w:r>
    </w:p>
    <w:p w:rsidR="00000000" w:rsidRDefault="004A63C4">
      <w:pPr>
        <w:pStyle w:val="Heading3"/>
        <w:spacing w:after="240" w:line="360" w:lineRule="auto"/>
        <w:jc w:val="both"/>
        <w:rPr>
          <w:sz w:val="22"/>
        </w:rPr>
      </w:pPr>
      <w:r>
        <w:rPr>
          <w:sz w:val="22"/>
        </w:rPr>
        <w:t>Brown Glacier DEM</w:t>
      </w:r>
    </w:p>
    <w:p w:rsidR="00000000" w:rsidRDefault="004A63C4">
      <w:pPr>
        <w:spacing w:after="240" w:line="360" w:lineRule="auto"/>
        <w:jc w:val="both"/>
        <w:rPr>
          <w:sz w:val="22"/>
        </w:rPr>
      </w:pPr>
      <w:r>
        <w:rPr>
          <w:sz w:val="22"/>
        </w:rPr>
        <w:t xml:space="preserve">A digital elevation model (DEM) of Heard Island created from Radarsat images was obtained from the Australian Antarctic Division. It provides elevations on a 50 m by </w:t>
      </w:r>
      <w:r>
        <w:rPr>
          <w:sz w:val="22"/>
        </w:rPr>
        <w:t>50 m grid. To compare the DEM to our GPS profiles we interpolated the DEM to the positions where GPS points were recorded. Kinematic profiling yields a high density of data and a total of 6647 points were compared. The mean difference between GPS and DEM h</w:t>
      </w:r>
      <w:r>
        <w:rPr>
          <w:sz w:val="22"/>
        </w:rPr>
        <w:t>eights at those points is 23.4 m. There is a bias of 20.2 m. The removal of this bias leaves a mean discrepancy of 18.8 m. We adjusted the DEM by interpolating those differences to the glacier part of the grid and adding them to the original heights. The i</w:t>
      </w:r>
      <w:r>
        <w:rPr>
          <w:sz w:val="22"/>
        </w:rPr>
        <w:t>nterpolation was done using the ‘griddata’ utility in Matlab ®, and a cubic interpolation. This procedure improved the mean difference between DEM and GPS points to 1.6 m. Also, some topographical features observed in the field are much better represented.</w:t>
      </w:r>
      <w:r>
        <w:rPr>
          <w:sz w:val="22"/>
        </w:rPr>
        <w:t xml:space="preserve"> Figure 2 shows a local map created from this new DEM. We also used it to calculate volume changes and to find ice divides on the upper glacier.</w:t>
      </w:r>
    </w:p>
    <w:p w:rsidR="00000000" w:rsidRDefault="004A63C4">
      <w:pPr>
        <w:pStyle w:val="Heading3"/>
        <w:spacing w:after="240" w:line="360" w:lineRule="auto"/>
        <w:jc w:val="both"/>
        <w:rPr>
          <w:sz w:val="22"/>
        </w:rPr>
      </w:pPr>
      <w:r>
        <w:rPr>
          <w:sz w:val="22"/>
        </w:rPr>
        <w:t>Glacier volume and area changes</w:t>
      </w:r>
    </w:p>
    <w:p w:rsidR="00000000" w:rsidRDefault="004A63C4">
      <w:pPr>
        <w:spacing w:after="240" w:line="360" w:lineRule="auto"/>
        <w:jc w:val="both"/>
        <w:rPr>
          <w:sz w:val="22"/>
        </w:rPr>
      </w:pPr>
      <w:r>
        <w:rPr>
          <w:sz w:val="22"/>
        </w:rPr>
        <w:t>On 1947 photographs the Brown Glacier is an active tidewater glacier. It then r</w:t>
      </w:r>
      <w:r>
        <w:rPr>
          <w:sz w:val="22"/>
        </w:rPr>
        <w:t>eceded into its own lagoon and in the 1980s even beyond that. We can estimate the total ice volume loss from the surveyed moraines and the glacier DEM and from the lagoon bathymetry. We reconstructed a 1947 glacier surface by interpolating between the seaw</w:t>
      </w:r>
      <w:r>
        <w:rPr>
          <w:sz w:val="22"/>
        </w:rPr>
        <w:t>ard shore of the lagoon, the surveyed moraine crests, and the profile at BG35, assuming that changes higher up on the glacier are minimal relative to the ice loss in the terminus area. The volume between the reconstructed 1947 surface and the present day s</w:t>
      </w:r>
      <w:r>
        <w:rPr>
          <w:sz w:val="22"/>
        </w:rPr>
        <w:t>urface is 1.6</w:t>
      </w:r>
      <w:r>
        <w:rPr>
          <w:sz w:val="22"/>
        </w:rPr>
        <w:sym w:font="Symbol" w:char="F0D7"/>
      </w:r>
      <w:r>
        <w:rPr>
          <w:sz w:val="22"/>
        </w:rPr>
        <w:t>10</w:t>
      </w:r>
      <w:r>
        <w:rPr>
          <w:sz w:val="22"/>
          <w:vertAlign w:val="superscript"/>
        </w:rPr>
        <w:t>8</w:t>
      </w:r>
      <w:r>
        <w:rPr>
          <w:sz w:val="22"/>
        </w:rPr>
        <w:t xml:space="preserve"> m</w:t>
      </w:r>
      <w:r>
        <w:rPr>
          <w:sz w:val="22"/>
          <w:vertAlign w:val="superscript"/>
        </w:rPr>
        <w:t>3</w:t>
      </w:r>
      <w:r>
        <w:rPr>
          <w:sz w:val="22"/>
        </w:rPr>
        <w:t>. The volume of the lagoon is only 7.8</w:t>
      </w:r>
      <w:r>
        <w:rPr>
          <w:sz w:val="22"/>
        </w:rPr>
        <w:sym w:font="Symbol" w:char="F0D7"/>
      </w:r>
      <w:r>
        <w:rPr>
          <w:sz w:val="22"/>
        </w:rPr>
        <w:t>10</w:t>
      </w:r>
      <w:r>
        <w:rPr>
          <w:sz w:val="22"/>
          <w:vertAlign w:val="superscript"/>
        </w:rPr>
        <w:t>6</w:t>
      </w:r>
      <w:r>
        <w:rPr>
          <w:sz w:val="22"/>
        </w:rPr>
        <w:t xml:space="preserve"> m</w:t>
      </w:r>
      <w:r>
        <w:rPr>
          <w:sz w:val="22"/>
          <w:vertAlign w:val="superscript"/>
        </w:rPr>
        <w:t>3</w:t>
      </w:r>
      <w:r>
        <w:rPr>
          <w:sz w:val="22"/>
        </w:rPr>
        <w:t>, and does therefore not add significantly to the first number.</w:t>
      </w:r>
    </w:p>
    <w:p w:rsidR="00000000" w:rsidRDefault="004A63C4">
      <w:pPr>
        <w:spacing w:after="240" w:line="360" w:lineRule="auto"/>
        <w:jc w:val="both"/>
        <w:rPr>
          <w:sz w:val="22"/>
        </w:rPr>
      </w:pPr>
      <w:r>
        <w:rPr>
          <w:sz w:val="22"/>
        </w:rPr>
        <w:t>The map area of the glacier has decreased from 5.5</w:t>
      </w:r>
      <w:r>
        <w:rPr>
          <w:sz w:val="22"/>
        </w:rPr>
        <w:sym w:font="Symbol" w:char="F0D7"/>
      </w:r>
      <w:r>
        <w:rPr>
          <w:sz w:val="22"/>
        </w:rPr>
        <w:t>10</w:t>
      </w:r>
      <w:r>
        <w:rPr>
          <w:sz w:val="22"/>
          <w:vertAlign w:val="superscript"/>
        </w:rPr>
        <w:t>6</w:t>
      </w:r>
      <w:r>
        <w:rPr>
          <w:sz w:val="22"/>
        </w:rPr>
        <w:t xml:space="preserve"> m</w:t>
      </w:r>
      <w:r>
        <w:rPr>
          <w:sz w:val="22"/>
          <w:vertAlign w:val="superscript"/>
        </w:rPr>
        <w:t>2</w:t>
      </w:r>
      <w:r>
        <w:rPr>
          <w:sz w:val="22"/>
        </w:rPr>
        <w:t xml:space="preserve"> in 1947 to 3.7</w:t>
      </w:r>
      <w:r>
        <w:rPr>
          <w:sz w:val="22"/>
        </w:rPr>
        <w:sym w:font="Symbol" w:char="F0D7"/>
      </w:r>
      <w:r>
        <w:rPr>
          <w:sz w:val="22"/>
        </w:rPr>
        <w:t>10</w:t>
      </w:r>
      <w:r>
        <w:rPr>
          <w:sz w:val="22"/>
          <w:vertAlign w:val="superscript"/>
        </w:rPr>
        <w:t>6</w:t>
      </w:r>
      <w:r>
        <w:rPr>
          <w:sz w:val="22"/>
        </w:rPr>
        <w:t xml:space="preserve"> m</w:t>
      </w:r>
      <w:r>
        <w:rPr>
          <w:sz w:val="22"/>
          <w:vertAlign w:val="superscript"/>
        </w:rPr>
        <w:t>2</w:t>
      </w:r>
      <w:r>
        <w:rPr>
          <w:sz w:val="22"/>
        </w:rPr>
        <w:t xml:space="preserve"> at present (Fig. 2). A significant part of this</w:t>
      </w:r>
      <w:r>
        <w:rPr>
          <w:sz w:val="22"/>
        </w:rPr>
        <w:t xml:space="preserve"> area loss originates from the left side of the glacier, where a rock cliff is now exposed below the 400 m contour. The present glacier margin above 400 m was difficult to define, as the ice margin was not exposed while we were in the field.</w:t>
      </w:r>
    </w:p>
    <w:p w:rsidR="00000000" w:rsidRDefault="004A63C4">
      <w:pPr>
        <w:spacing w:after="240" w:line="360" w:lineRule="auto"/>
        <w:jc w:val="both"/>
        <w:rPr>
          <w:sz w:val="22"/>
        </w:rPr>
      </w:pPr>
      <w:r>
        <w:rPr>
          <w:sz w:val="22"/>
        </w:rPr>
        <w:t>Since 1947 the</w:t>
      </w:r>
      <w:r>
        <w:rPr>
          <w:sz w:val="22"/>
        </w:rPr>
        <w:t xml:space="preserve"> glacier has lost 33% of its area. The volume change divided by the original map area amounts to an average thickness change of 29 m, or 0.55 m.a</w:t>
      </w:r>
      <w:r>
        <w:rPr>
          <w:sz w:val="22"/>
          <w:vertAlign w:val="superscript"/>
        </w:rPr>
        <w:t>-1</w:t>
      </w:r>
      <w:r>
        <w:rPr>
          <w:sz w:val="22"/>
        </w:rPr>
        <w:t xml:space="preserve">. </w:t>
      </w:r>
    </w:p>
    <w:p w:rsidR="00000000" w:rsidRDefault="004A63C4">
      <w:pPr>
        <w:pStyle w:val="Heading3"/>
        <w:spacing w:after="240" w:line="360" w:lineRule="auto"/>
        <w:jc w:val="both"/>
        <w:rPr>
          <w:b w:val="0"/>
          <w:bCs w:val="0"/>
          <w:sz w:val="22"/>
        </w:rPr>
      </w:pPr>
      <w:r>
        <w:rPr>
          <w:sz w:val="22"/>
        </w:rPr>
        <w:t>Ice Flux</w:t>
      </w:r>
    </w:p>
    <w:p w:rsidR="00000000" w:rsidRDefault="004A63C4">
      <w:pPr>
        <w:spacing w:after="240" w:line="360" w:lineRule="auto"/>
        <w:jc w:val="both"/>
        <w:rPr>
          <w:sz w:val="22"/>
        </w:rPr>
      </w:pPr>
      <w:r>
        <w:rPr>
          <w:sz w:val="22"/>
        </w:rPr>
        <w:t>The velocity measurements at BG35 together with the RES profile allows us to estimate the total i</w:t>
      </w:r>
      <w:r>
        <w:rPr>
          <w:sz w:val="22"/>
        </w:rPr>
        <w:t>ce flux through this cross section, which is believed to be below the equilibrium line. The average velocity in the BG35 profile is 7.6 cm.d</w:t>
      </w:r>
      <w:r>
        <w:rPr>
          <w:sz w:val="22"/>
          <w:vertAlign w:val="superscript"/>
        </w:rPr>
        <w:t>-1</w:t>
      </w:r>
      <w:r>
        <w:rPr>
          <w:sz w:val="22"/>
        </w:rPr>
        <w:t xml:space="preserve"> or about 28 m.a</w:t>
      </w:r>
      <w:r>
        <w:rPr>
          <w:sz w:val="22"/>
          <w:vertAlign w:val="superscript"/>
        </w:rPr>
        <w:t>-1</w:t>
      </w:r>
      <w:r>
        <w:rPr>
          <w:sz w:val="22"/>
        </w:rPr>
        <w:t>. The average speed in a profile is within a few percent of the average speed in the entire cros</w:t>
      </w:r>
      <w:r>
        <w:rPr>
          <w:sz w:val="22"/>
        </w:rPr>
        <w:t>s section (Paterson, 1994) in idealized situations. If we adopt this assumption, we obtain an ice flux of 1.87</w:t>
      </w:r>
      <w:r>
        <w:rPr>
          <w:sz w:val="22"/>
        </w:rPr>
        <w:sym w:font="Symbol" w:char="F0D7"/>
      </w:r>
      <w:r>
        <w:rPr>
          <w:sz w:val="22"/>
        </w:rPr>
        <w:t>10</w:t>
      </w:r>
      <w:r>
        <w:rPr>
          <w:sz w:val="22"/>
          <w:vertAlign w:val="superscript"/>
        </w:rPr>
        <w:t xml:space="preserve">6 </w:t>
      </w:r>
      <w:r>
        <w:rPr>
          <w:sz w:val="22"/>
        </w:rPr>
        <w:t>m</w:t>
      </w:r>
      <w:r>
        <w:rPr>
          <w:sz w:val="22"/>
          <w:vertAlign w:val="superscript"/>
        </w:rPr>
        <w:t>3</w:t>
      </w:r>
      <w:r>
        <w:rPr>
          <w:sz w:val="22"/>
        </w:rPr>
        <w:t>a</w:t>
      </w:r>
      <w:r>
        <w:rPr>
          <w:sz w:val="22"/>
          <w:vertAlign w:val="superscript"/>
        </w:rPr>
        <w:t>-1</w:t>
      </w:r>
      <w:r>
        <w:rPr>
          <w:sz w:val="22"/>
        </w:rPr>
        <w:t>. To balance this flux an average accumulation of 0.7 m.a</w:t>
      </w:r>
      <w:r>
        <w:rPr>
          <w:sz w:val="22"/>
          <w:vertAlign w:val="superscript"/>
        </w:rPr>
        <w:t>-1</w:t>
      </w:r>
      <w:r>
        <w:rPr>
          <w:sz w:val="22"/>
        </w:rPr>
        <w:t xml:space="preserve"> upstream of BG35 is required.</w:t>
      </w:r>
    </w:p>
    <w:p w:rsidR="00000000" w:rsidRDefault="004A63C4">
      <w:pPr>
        <w:spacing w:after="240" w:line="360" w:lineRule="auto"/>
        <w:jc w:val="both"/>
        <w:rPr>
          <w:b/>
          <w:bCs/>
          <w:sz w:val="22"/>
        </w:rPr>
      </w:pPr>
      <w:r>
        <w:rPr>
          <w:b/>
          <w:bCs/>
          <w:sz w:val="22"/>
        </w:rPr>
        <w:t>Snow Accumulation</w:t>
      </w:r>
    </w:p>
    <w:p w:rsidR="00000000" w:rsidRDefault="004A63C4">
      <w:pPr>
        <w:spacing w:after="240" w:line="360" w:lineRule="auto"/>
        <w:jc w:val="both"/>
        <w:rPr>
          <w:sz w:val="22"/>
        </w:rPr>
      </w:pPr>
      <w:r>
        <w:rPr>
          <w:sz w:val="22"/>
        </w:rPr>
        <w:t>Results are presented graphi</w:t>
      </w:r>
      <w:r>
        <w:rPr>
          <w:sz w:val="22"/>
        </w:rPr>
        <w:t xml:space="preserve">cally in Figure 10a-l. Graphs show snow height increase or decrease above or below original snow surface (rather than pole height decrease or increase). </w:t>
      </w:r>
    </w:p>
    <w:p w:rsidR="00000000" w:rsidRDefault="004A63C4">
      <w:pPr>
        <w:spacing w:after="240" w:line="360" w:lineRule="auto"/>
        <w:jc w:val="both"/>
        <w:rPr>
          <w:sz w:val="22"/>
        </w:rPr>
      </w:pPr>
      <w:r>
        <w:rPr>
          <w:sz w:val="22"/>
        </w:rPr>
        <w:t>The graphs show snow accumulation at and above BG35 for the period 23</w:t>
      </w:r>
      <w:r>
        <w:rPr>
          <w:sz w:val="22"/>
          <w:vertAlign w:val="superscript"/>
        </w:rPr>
        <w:t>rd</w:t>
      </w:r>
      <w:r>
        <w:rPr>
          <w:sz w:val="22"/>
        </w:rPr>
        <w:t xml:space="preserve"> October to 12</w:t>
      </w:r>
      <w:r>
        <w:rPr>
          <w:sz w:val="22"/>
          <w:vertAlign w:val="superscript"/>
        </w:rPr>
        <w:t>th</w:t>
      </w:r>
      <w:r>
        <w:rPr>
          <w:sz w:val="22"/>
        </w:rPr>
        <w:t xml:space="preserve"> January, prima</w:t>
      </w:r>
      <w:r>
        <w:rPr>
          <w:sz w:val="22"/>
        </w:rPr>
        <w:t>rily as a result of snow falls between 1</w:t>
      </w:r>
      <w:r>
        <w:rPr>
          <w:sz w:val="22"/>
          <w:vertAlign w:val="superscript"/>
        </w:rPr>
        <w:t>st</w:t>
      </w:r>
      <w:r>
        <w:rPr>
          <w:sz w:val="22"/>
        </w:rPr>
        <w:t>-4</w:t>
      </w:r>
      <w:r>
        <w:rPr>
          <w:sz w:val="22"/>
          <w:vertAlign w:val="superscript"/>
        </w:rPr>
        <w:t>th</w:t>
      </w:r>
      <w:r>
        <w:rPr>
          <w:sz w:val="22"/>
        </w:rPr>
        <w:t xml:space="preserve"> November (25 cm at BG35), and late on the 13</w:t>
      </w:r>
      <w:r>
        <w:rPr>
          <w:sz w:val="22"/>
          <w:vertAlign w:val="superscript"/>
        </w:rPr>
        <w:t>th</w:t>
      </w:r>
      <w:r>
        <w:rPr>
          <w:sz w:val="22"/>
        </w:rPr>
        <w:t xml:space="preserve"> November (~35 cm at BG35; see Fig. 13). At BG40 and below, snow accumulated between 23</w:t>
      </w:r>
      <w:r>
        <w:rPr>
          <w:sz w:val="22"/>
          <w:vertAlign w:val="superscript"/>
        </w:rPr>
        <w:t>rd</w:t>
      </w:r>
      <w:r>
        <w:rPr>
          <w:sz w:val="22"/>
        </w:rPr>
        <w:t xml:space="preserve"> October and 25</w:t>
      </w:r>
      <w:r>
        <w:rPr>
          <w:sz w:val="22"/>
          <w:vertAlign w:val="superscript"/>
        </w:rPr>
        <w:t>th</w:t>
      </w:r>
      <w:r>
        <w:rPr>
          <w:sz w:val="22"/>
        </w:rPr>
        <w:t xml:space="preserve"> November, except for at two of the poles at the transver</w:t>
      </w:r>
      <w:r>
        <w:rPr>
          <w:sz w:val="22"/>
        </w:rPr>
        <w:t>se profile at BG40. By January 12</w:t>
      </w:r>
      <w:r>
        <w:rPr>
          <w:sz w:val="22"/>
          <w:vertAlign w:val="superscript"/>
        </w:rPr>
        <w:t>th</w:t>
      </w:r>
      <w:r>
        <w:rPr>
          <w:sz w:val="22"/>
        </w:rPr>
        <w:t>, all poles at and below BG40 had shown considerable ablation, and both poles had melted out (or blown away) at BG50, and the smaller of the two poles had fallen over at BG40 and BG45. This suggests that by mid-January th</w:t>
      </w:r>
      <w:r>
        <w:rPr>
          <w:sz w:val="22"/>
        </w:rPr>
        <w:t>e snow line was between BG40 and BG35 (i.e. between 400 m and 500 m a.s.l.). With maximum temperatures usually occurring between January and March (e.g. Allison &amp; Keage, 1986), the summer snow line would probably be above BG35 (see Discussion).</w:t>
      </w:r>
    </w:p>
    <w:p w:rsidR="00000000" w:rsidRDefault="004A63C4">
      <w:pPr>
        <w:spacing w:after="240" w:line="360" w:lineRule="auto"/>
        <w:jc w:val="both"/>
        <w:rPr>
          <w:sz w:val="22"/>
        </w:rPr>
      </w:pPr>
      <w:r>
        <w:rPr>
          <w:sz w:val="22"/>
        </w:rPr>
        <w:t>Figure 11 c</w:t>
      </w:r>
      <w:r>
        <w:rPr>
          <w:sz w:val="22"/>
        </w:rPr>
        <w:t>ompares the results from the sonic ranger with the pole measurements at BG35, showing general agreement between the two different methods of measurement.</w:t>
      </w:r>
    </w:p>
    <w:p w:rsidR="00000000" w:rsidRDefault="004A63C4">
      <w:pPr>
        <w:spacing w:after="240" w:line="360" w:lineRule="auto"/>
        <w:jc w:val="both"/>
        <w:rPr>
          <w:sz w:val="22"/>
        </w:rPr>
      </w:pPr>
      <w:r>
        <w:rPr>
          <w:sz w:val="22"/>
        </w:rPr>
        <w:t>The snowpit at BG35 was 0.80 m deep, where ice was encountered, presumably the summer surface. The sno</w:t>
      </w:r>
      <w:r>
        <w:rPr>
          <w:sz w:val="22"/>
        </w:rPr>
        <w:t>w was hard packed due to almost constant wind and its average density was 790 kg.m</w:t>
      </w:r>
      <w:r>
        <w:rPr>
          <w:vertAlign w:val="superscript"/>
        </w:rPr>
        <w:t>-3</w:t>
      </w:r>
      <w:r>
        <w:rPr>
          <w:sz w:val="22"/>
        </w:rPr>
        <w:t>. This results in an ice-equivalent winter accumulation of 0.70 m, although additional snowfall occurred after the snow pit was dug. The snow pack was temperate in the bott</w:t>
      </w:r>
      <w:r>
        <w:rPr>
          <w:sz w:val="22"/>
        </w:rPr>
        <w:t xml:space="preserve">om 0.2 m. Oxygen isotope analysis showed little variation through most of the snow pack, except for the very top layer (Fig. 12). This is believed to be an effect of homogenization by melt water percolation. The uppermost layer may not have gone through a </w:t>
      </w:r>
      <w:r>
        <w:rPr>
          <w:sz w:val="22"/>
        </w:rPr>
        <w:t>significant melt event at the time of the recording.</w:t>
      </w:r>
    </w:p>
    <w:p w:rsidR="00000000" w:rsidRDefault="004A63C4">
      <w:pPr>
        <w:spacing w:after="240" w:line="360" w:lineRule="auto"/>
        <w:jc w:val="both"/>
        <w:rPr>
          <w:sz w:val="22"/>
        </w:rPr>
      </w:pPr>
      <w:r>
        <w:rPr>
          <w:sz w:val="22"/>
        </w:rPr>
        <w:t>The isotope record from the crevasse at 1050 m shows a variation of about 2 ‰ (Fig. 12). This corresponds to the seasonal variation of isotopes found in rainwater on sub-Antarctic Macquarie Island (V. Mo</w:t>
      </w:r>
      <w:r>
        <w:rPr>
          <w:sz w:val="22"/>
        </w:rPr>
        <w:t xml:space="preserve">rgan, pers. comm., March 2001). The least negative value of </w:t>
      </w:r>
      <w:r>
        <w:rPr>
          <w:sz w:val="22"/>
        </w:rPr>
        <w:sym w:font="Symbol" w:char="F064"/>
      </w:r>
      <w:r>
        <w:rPr>
          <w:sz w:val="22"/>
        </w:rPr>
        <w:t>O</w:t>
      </w:r>
      <w:r>
        <w:rPr>
          <w:vertAlign w:val="superscript"/>
        </w:rPr>
        <w:t>18</w:t>
      </w:r>
      <w:r>
        <w:rPr>
          <w:sz w:val="22"/>
        </w:rPr>
        <w:t>/</w:t>
      </w:r>
      <w:r>
        <w:rPr>
          <w:sz w:val="22"/>
        </w:rPr>
        <w:sym w:font="Symbol" w:char="F064"/>
      </w:r>
      <w:r>
        <w:rPr>
          <w:sz w:val="22"/>
        </w:rPr>
        <w:t>O</w:t>
      </w:r>
      <w:r>
        <w:rPr>
          <w:vertAlign w:val="superscript"/>
        </w:rPr>
        <w:t>16</w:t>
      </w:r>
      <w:r>
        <w:rPr>
          <w:sz w:val="22"/>
        </w:rPr>
        <w:t xml:space="preserve"> is expected to occur in mid summer. Figure 12b shows the isotope record together with a hypothetical curve of its seasonal variation. Also shown are the positions of dirt layers found in</w:t>
      </w:r>
      <w:r>
        <w:rPr>
          <w:sz w:val="22"/>
        </w:rPr>
        <w:t xml:space="preserve"> the crevasse. They are situated above the hypothetical maxima. This is expected, as dirt layers presumably form in late summer. The spacing of the dirt layers and the isotope record both indicate a net mass balance of 6-7 ma</w:t>
      </w:r>
      <w:r>
        <w:rPr>
          <w:vertAlign w:val="superscript"/>
        </w:rPr>
        <w:t>-1</w:t>
      </w:r>
      <w:r>
        <w:rPr>
          <w:sz w:val="22"/>
        </w:rPr>
        <w:t xml:space="preserve">, at a location close to the </w:t>
      </w:r>
      <w:r>
        <w:rPr>
          <w:sz w:val="22"/>
        </w:rPr>
        <w:t>head of the glacier.</w:t>
      </w:r>
    </w:p>
    <w:p w:rsidR="00000000" w:rsidRDefault="004A63C4">
      <w:pPr>
        <w:pStyle w:val="Heading1"/>
        <w:spacing w:after="240" w:line="360" w:lineRule="auto"/>
        <w:jc w:val="both"/>
        <w:rPr>
          <w:sz w:val="22"/>
          <w:u w:val="none"/>
        </w:rPr>
      </w:pPr>
      <w:r>
        <w:rPr>
          <w:sz w:val="22"/>
          <w:u w:val="none"/>
        </w:rPr>
        <w:t>Weather</w:t>
      </w:r>
    </w:p>
    <w:p w:rsidR="00000000" w:rsidRDefault="004A63C4">
      <w:pPr>
        <w:spacing w:after="240" w:line="360" w:lineRule="auto"/>
        <w:jc w:val="both"/>
        <w:rPr>
          <w:sz w:val="22"/>
        </w:rPr>
      </w:pPr>
      <w:r>
        <w:rPr>
          <w:sz w:val="22"/>
        </w:rPr>
        <w:t>Weather data for the glacier AWS are presented in Figures 13a-c, and summarized for both sites in Tables 1 and 2.</w:t>
      </w:r>
    </w:p>
    <w:p w:rsidR="00000000" w:rsidRDefault="004A63C4">
      <w:pPr>
        <w:pStyle w:val="BodyText"/>
      </w:pPr>
      <w:r>
        <w:t>Comparisons between the two sites (Fig. 14a-b) were made for the period when both were operating, and when coinci</w:t>
      </w:r>
      <w:r>
        <w:t>dent data was available (i.e. a comparison was only made for the hours when the rock AWS uploaded data to the satellite. Also, data for the glacier AWS was averaged over the previous two half hourly periods to more closely reflect the hourly averages at th</w:t>
      </w:r>
      <w:r>
        <w:t xml:space="preserve">e rock AWS). This was to assess whether data from the rock AWS could be applied to Brown Glacier. </w:t>
      </w:r>
    </w:p>
    <w:p w:rsidR="00000000" w:rsidRDefault="004A63C4">
      <w:pPr>
        <w:spacing w:after="240" w:line="360" w:lineRule="auto"/>
        <w:jc w:val="both"/>
        <w:rPr>
          <w:sz w:val="22"/>
        </w:rPr>
      </w:pPr>
      <w:r>
        <w:rPr>
          <w:sz w:val="22"/>
        </w:rPr>
        <w:t>There is a very close correlation for temperature (r = 0.970). On average, the rock site was 0.25 ˚C cooler than the glacier site (σ = 0.57 ˚C). Wind speed i</w:t>
      </w:r>
      <w:r>
        <w:rPr>
          <w:sz w:val="22"/>
        </w:rPr>
        <w:t>s less well correlated (r = 0.825). On average, the rock site had winds that were 1.23 m s</w:t>
      </w:r>
      <w:r>
        <w:rPr>
          <w:sz w:val="22"/>
          <w:vertAlign w:val="superscript"/>
        </w:rPr>
        <w:t>-1</w:t>
      </w:r>
      <w:r>
        <w:rPr>
          <w:sz w:val="22"/>
        </w:rPr>
        <w:t xml:space="preserve"> faster than the glacier site (σ = 2.88 m s</w:t>
      </w:r>
      <w:r>
        <w:rPr>
          <w:sz w:val="22"/>
          <w:vertAlign w:val="superscript"/>
        </w:rPr>
        <w:t>-1</w:t>
      </w:r>
      <w:r>
        <w:rPr>
          <w:sz w:val="22"/>
        </w:rPr>
        <w:t>) although from the graph (Fig. 14b) it is apparent that there were days at a time when either one or the other site wa</w:t>
      </w:r>
      <w:r>
        <w:rPr>
          <w:sz w:val="22"/>
        </w:rPr>
        <w:t>s windier.</w:t>
      </w:r>
    </w:p>
    <w:p w:rsidR="00000000" w:rsidRDefault="004A63C4">
      <w:pPr>
        <w:spacing w:after="240"/>
        <w:jc w:val="both"/>
        <w:rPr>
          <w:sz w:val="22"/>
        </w:rPr>
      </w:pPr>
      <w:r>
        <w:rPr>
          <w:b/>
          <w:bCs/>
          <w:sz w:val="22"/>
        </w:rPr>
        <w:t>Table 1.</w:t>
      </w:r>
      <w:r>
        <w:rPr>
          <w:sz w:val="22"/>
        </w:rPr>
        <w:t xml:space="preserve"> </w:t>
      </w:r>
      <w:r>
        <w:rPr>
          <w:i/>
          <w:iCs/>
          <w:sz w:val="22"/>
        </w:rPr>
        <w:t>Summary of (a) all weather data collected by the AWS situated at BG35, on Brown Glacier at ~500m a.s.l., operating between 29</w:t>
      </w:r>
      <w:r>
        <w:rPr>
          <w:i/>
          <w:iCs/>
          <w:sz w:val="22"/>
          <w:vertAlign w:val="superscript"/>
        </w:rPr>
        <w:t>th</w:t>
      </w:r>
      <w:r>
        <w:rPr>
          <w:i/>
          <w:iCs/>
          <w:sz w:val="22"/>
        </w:rPr>
        <w:t xml:space="preserve"> October and 25</w:t>
      </w:r>
      <w:r>
        <w:rPr>
          <w:i/>
          <w:iCs/>
          <w:sz w:val="22"/>
          <w:vertAlign w:val="superscript"/>
        </w:rPr>
        <w:t>th</w:t>
      </w:r>
      <w:r>
        <w:rPr>
          <w:i/>
          <w:iCs/>
          <w:sz w:val="22"/>
        </w:rPr>
        <w:t xml:space="preserve"> November 2000 (the glacier AWS), and (b) only those data that are coincident with readings </w:t>
      </w:r>
      <w:r>
        <w:rPr>
          <w:i/>
          <w:iCs/>
          <w:sz w:val="22"/>
        </w:rPr>
        <w:t>made at the rock AWS (Table Z). Each coincident data record from the glacier AWS is itself an average of the previous two half hourly readings, to more closely reflect the hourly averages taken at the rock AWS. Note that wind direction is an instantaneous,</w:t>
      </w:r>
      <w:r>
        <w:rPr>
          <w:i/>
          <w:iCs/>
          <w:sz w:val="22"/>
        </w:rPr>
        <w:t xml:space="preserve"> rather than an average, reading.</w:t>
      </w:r>
    </w:p>
    <w:tbl>
      <w:tblPr>
        <w:tblW w:w="8220" w:type="dxa"/>
        <w:tblLayout w:type="fixed"/>
        <w:tblCellMar>
          <w:left w:w="0" w:type="dxa"/>
          <w:right w:w="0" w:type="dxa"/>
        </w:tblCellMar>
        <w:tblLook w:val="0000" w:firstRow="0" w:lastRow="0" w:firstColumn="0" w:lastColumn="0" w:noHBand="0" w:noVBand="0"/>
      </w:tblPr>
      <w:tblGrid>
        <w:gridCol w:w="1860"/>
        <w:gridCol w:w="1150"/>
        <w:gridCol w:w="1100"/>
        <w:gridCol w:w="1090"/>
        <w:gridCol w:w="1450"/>
        <w:gridCol w:w="1570"/>
      </w:tblGrid>
      <w:tr w:rsidR="00000000">
        <w:trPr>
          <w:trHeight w:val="219"/>
        </w:trPr>
        <w:tc>
          <w:tcPr>
            <w:tcW w:w="1860" w:type="dxa"/>
            <w:tcBorders>
              <w:top w:val="single" w:sz="8" w:space="0" w:color="auto"/>
              <w:left w:val="single" w:sz="8" w:space="0" w:color="auto"/>
              <w:bottom w:val="nil"/>
              <w:right w:val="nil"/>
            </w:tcBorders>
            <w:noWrap/>
            <w:vAlign w:val="bottom"/>
          </w:tcPr>
          <w:p w:rsidR="00000000" w:rsidRDefault="004A63C4">
            <w:pPr>
              <w:rPr>
                <w:rFonts w:ascii="Arial" w:hAnsi="Arial" w:cs="Arial"/>
                <w:b/>
                <w:bCs/>
                <w:sz w:val="20"/>
                <w:szCs w:val="20"/>
              </w:rPr>
            </w:pPr>
            <w:r>
              <w:rPr>
                <w:rFonts w:ascii="Arial" w:hAnsi="Arial" w:cs="Arial"/>
                <w:b/>
                <w:bCs/>
                <w:sz w:val="20"/>
                <w:szCs w:val="20"/>
              </w:rPr>
              <w:t>a) All Data</w:t>
            </w:r>
          </w:p>
        </w:tc>
        <w:tc>
          <w:tcPr>
            <w:tcW w:w="1150" w:type="dxa"/>
            <w:tcBorders>
              <w:top w:val="single" w:sz="8" w:space="0" w:color="auto"/>
              <w:left w:val="nil"/>
              <w:bottom w:val="nil"/>
              <w:right w:val="nil"/>
            </w:tcBorders>
            <w:noWrap/>
            <w:vAlign w:val="bottom"/>
          </w:tcPr>
          <w:p w:rsidR="00000000" w:rsidRDefault="004A63C4">
            <w:pPr>
              <w:jc w:val="center"/>
              <w:rPr>
                <w:rFonts w:ascii="Arial" w:hAnsi="Arial" w:cs="Arial"/>
                <w:i/>
                <w:iCs/>
                <w:sz w:val="16"/>
                <w:szCs w:val="20"/>
              </w:rPr>
            </w:pPr>
            <w:r>
              <w:rPr>
                <w:rFonts w:ascii="Arial" w:hAnsi="Arial" w:cs="Arial"/>
                <w:i/>
                <w:iCs/>
                <w:sz w:val="16"/>
                <w:szCs w:val="20"/>
              </w:rPr>
              <w:t xml:space="preserve">Wind speed </w:t>
            </w:r>
          </w:p>
          <w:p w:rsidR="00000000" w:rsidRDefault="004A63C4">
            <w:pPr>
              <w:jc w:val="center"/>
              <w:rPr>
                <w:rFonts w:ascii="Arial" w:hAnsi="Arial" w:cs="Arial"/>
                <w:i/>
                <w:iCs/>
                <w:sz w:val="16"/>
                <w:szCs w:val="20"/>
              </w:rPr>
            </w:pPr>
            <w:r>
              <w:rPr>
                <w:rFonts w:ascii="Arial" w:hAnsi="Arial" w:cs="Arial"/>
                <w:i/>
                <w:iCs/>
                <w:sz w:val="16"/>
                <w:szCs w:val="20"/>
              </w:rPr>
              <w:t>(m s</w:t>
            </w:r>
            <w:r>
              <w:rPr>
                <w:rFonts w:ascii="Arial" w:hAnsi="Arial" w:cs="Arial"/>
                <w:i/>
                <w:iCs/>
                <w:sz w:val="16"/>
                <w:szCs w:val="20"/>
                <w:vertAlign w:val="superscript"/>
              </w:rPr>
              <w:t>-1</w:t>
            </w:r>
            <w:r>
              <w:rPr>
                <w:rFonts w:ascii="Arial" w:hAnsi="Arial" w:cs="Arial"/>
                <w:i/>
                <w:iCs/>
                <w:sz w:val="16"/>
                <w:szCs w:val="20"/>
              </w:rPr>
              <w:t>)</w:t>
            </w:r>
          </w:p>
        </w:tc>
        <w:tc>
          <w:tcPr>
            <w:tcW w:w="1100" w:type="dxa"/>
            <w:tcBorders>
              <w:top w:val="single" w:sz="8" w:space="0" w:color="auto"/>
              <w:left w:val="nil"/>
              <w:bottom w:val="nil"/>
              <w:right w:val="nil"/>
            </w:tcBorders>
            <w:noWrap/>
            <w:vAlign w:val="bottom"/>
          </w:tcPr>
          <w:p w:rsidR="00000000" w:rsidRDefault="004A63C4">
            <w:pPr>
              <w:pStyle w:val="Heading5"/>
              <w:rPr>
                <w:i w:val="0"/>
                <w:iCs w:val="0"/>
              </w:rPr>
            </w:pPr>
            <w:r>
              <w:t>Wind Gust</w:t>
            </w:r>
            <w:r>
              <w:rPr>
                <w:i w:val="0"/>
                <w:iCs w:val="0"/>
              </w:rPr>
              <w:t xml:space="preserve"> </w:t>
            </w:r>
          </w:p>
          <w:p w:rsidR="00000000" w:rsidRDefault="004A63C4">
            <w:pPr>
              <w:pStyle w:val="Heading5"/>
            </w:pPr>
            <w:r>
              <w:t>(m s</w:t>
            </w:r>
            <w:r>
              <w:rPr>
                <w:vertAlign w:val="superscript"/>
              </w:rPr>
              <w:t>-1</w:t>
            </w:r>
            <w:r>
              <w:t>)</w:t>
            </w:r>
          </w:p>
        </w:tc>
        <w:tc>
          <w:tcPr>
            <w:tcW w:w="1090" w:type="dxa"/>
            <w:tcBorders>
              <w:top w:val="single" w:sz="8" w:space="0" w:color="auto"/>
              <w:left w:val="nil"/>
              <w:bottom w:val="nil"/>
              <w:right w:val="nil"/>
            </w:tcBorders>
            <w:noWrap/>
            <w:vAlign w:val="bottom"/>
          </w:tcPr>
          <w:p w:rsidR="00000000" w:rsidRDefault="004A63C4">
            <w:pPr>
              <w:jc w:val="center"/>
              <w:rPr>
                <w:rFonts w:ascii="Arial" w:hAnsi="Arial" w:cs="Arial"/>
                <w:i/>
                <w:iCs/>
                <w:sz w:val="16"/>
                <w:szCs w:val="20"/>
              </w:rPr>
            </w:pPr>
            <w:r>
              <w:rPr>
                <w:rFonts w:ascii="Arial" w:hAnsi="Arial" w:cs="Arial"/>
                <w:i/>
                <w:iCs/>
                <w:sz w:val="16"/>
                <w:szCs w:val="20"/>
              </w:rPr>
              <w:t>Humidity</w:t>
            </w:r>
          </w:p>
          <w:p w:rsidR="00000000" w:rsidRDefault="004A63C4">
            <w:pPr>
              <w:jc w:val="center"/>
              <w:rPr>
                <w:rFonts w:ascii="Arial" w:hAnsi="Arial" w:cs="Arial"/>
                <w:i/>
                <w:iCs/>
                <w:sz w:val="16"/>
                <w:szCs w:val="20"/>
              </w:rPr>
            </w:pPr>
            <w:r>
              <w:rPr>
                <w:rFonts w:ascii="Arial" w:hAnsi="Arial" w:cs="Arial"/>
                <w:i/>
                <w:iCs/>
                <w:sz w:val="16"/>
                <w:szCs w:val="20"/>
              </w:rPr>
              <w:t>(%)</w:t>
            </w:r>
          </w:p>
        </w:tc>
        <w:tc>
          <w:tcPr>
            <w:tcW w:w="1450" w:type="dxa"/>
            <w:tcBorders>
              <w:top w:val="single" w:sz="8" w:space="0" w:color="auto"/>
              <w:left w:val="nil"/>
              <w:bottom w:val="nil"/>
              <w:right w:val="nil"/>
            </w:tcBorders>
            <w:noWrap/>
            <w:vAlign w:val="bottom"/>
          </w:tcPr>
          <w:p w:rsidR="00000000" w:rsidRDefault="004A63C4">
            <w:pPr>
              <w:jc w:val="center"/>
              <w:rPr>
                <w:rFonts w:ascii="Arial" w:hAnsi="Arial" w:cs="Arial"/>
                <w:i/>
                <w:iCs/>
                <w:sz w:val="16"/>
                <w:szCs w:val="20"/>
              </w:rPr>
            </w:pPr>
            <w:r>
              <w:rPr>
                <w:rFonts w:ascii="Arial" w:hAnsi="Arial" w:cs="Arial"/>
                <w:i/>
                <w:iCs/>
                <w:sz w:val="16"/>
                <w:szCs w:val="20"/>
              </w:rPr>
              <w:t>Temperature</w:t>
            </w:r>
          </w:p>
          <w:p w:rsidR="00000000" w:rsidRDefault="004A63C4">
            <w:pPr>
              <w:jc w:val="center"/>
              <w:rPr>
                <w:rFonts w:ascii="Arial" w:hAnsi="Arial" w:cs="Arial"/>
                <w:i/>
                <w:iCs/>
                <w:sz w:val="16"/>
                <w:szCs w:val="20"/>
              </w:rPr>
            </w:pPr>
            <w:r>
              <w:rPr>
                <w:rFonts w:ascii="Arial" w:hAnsi="Arial" w:cs="Arial"/>
                <w:i/>
                <w:iCs/>
                <w:sz w:val="16"/>
                <w:szCs w:val="20"/>
              </w:rPr>
              <w:t>(°C)</w:t>
            </w:r>
          </w:p>
        </w:tc>
        <w:tc>
          <w:tcPr>
            <w:tcW w:w="1570" w:type="dxa"/>
            <w:tcBorders>
              <w:top w:val="single" w:sz="8" w:space="0" w:color="auto"/>
              <w:left w:val="nil"/>
              <w:bottom w:val="nil"/>
              <w:right w:val="single" w:sz="8" w:space="0" w:color="auto"/>
            </w:tcBorders>
            <w:noWrap/>
            <w:vAlign w:val="bottom"/>
          </w:tcPr>
          <w:p w:rsidR="00000000" w:rsidRDefault="004A63C4">
            <w:pPr>
              <w:jc w:val="center"/>
              <w:rPr>
                <w:rFonts w:ascii="Arial" w:hAnsi="Arial" w:cs="Arial"/>
                <w:i/>
                <w:iCs/>
                <w:sz w:val="16"/>
                <w:szCs w:val="20"/>
              </w:rPr>
            </w:pPr>
            <w:r>
              <w:rPr>
                <w:rFonts w:ascii="Arial" w:hAnsi="Arial" w:cs="Arial"/>
                <w:i/>
                <w:iCs/>
                <w:sz w:val="16"/>
                <w:szCs w:val="20"/>
              </w:rPr>
              <w:t>Wind direction</w:t>
            </w:r>
          </w:p>
          <w:p w:rsidR="00000000" w:rsidRDefault="004A63C4">
            <w:pPr>
              <w:jc w:val="center"/>
              <w:rPr>
                <w:rFonts w:ascii="Arial" w:hAnsi="Arial" w:cs="Arial"/>
                <w:i/>
                <w:iCs/>
                <w:sz w:val="16"/>
                <w:szCs w:val="20"/>
              </w:rPr>
            </w:pPr>
            <w:r>
              <w:rPr>
                <w:rFonts w:ascii="Arial" w:hAnsi="Arial" w:cs="Arial"/>
                <w:i/>
                <w:iCs/>
                <w:sz w:val="16"/>
                <w:szCs w:val="20"/>
              </w:rPr>
              <w:t>(degrees true)</w:t>
            </w:r>
          </w:p>
        </w:tc>
      </w:tr>
      <w:tr w:rsidR="00000000">
        <w:trPr>
          <w:trHeight w:val="264"/>
        </w:trPr>
        <w:tc>
          <w:tcPr>
            <w:tcW w:w="1860" w:type="dxa"/>
            <w:tcBorders>
              <w:top w:val="single" w:sz="8" w:space="0" w:color="auto"/>
              <w:left w:val="single" w:sz="8" w:space="0" w:color="auto"/>
              <w:bottom w:val="nil"/>
              <w:right w:val="nil"/>
            </w:tcBorders>
            <w:noWrap/>
            <w:vAlign w:val="bottom"/>
          </w:tcPr>
          <w:p w:rsidR="00000000" w:rsidRDefault="004A63C4">
            <w:pPr>
              <w:pStyle w:val="Heading4"/>
            </w:pPr>
            <w:r>
              <w:t>Average</w:t>
            </w:r>
          </w:p>
        </w:tc>
        <w:tc>
          <w:tcPr>
            <w:tcW w:w="1150" w:type="dxa"/>
            <w:tcBorders>
              <w:top w:val="single" w:sz="8" w:space="0" w:color="auto"/>
              <w:left w:val="nil"/>
              <w:bottom w:val="nil"/>
              <w:right w:val="nil"/>
            </w:tcBorders>
            <w:noWrap/>
            <w:vAlign w:val="bottom"/>
          </w:tcPr>
          <w:p w:rsidR="00000000" w:rsidRDefault="004A63C4">
            <w:pPr>
              <w:jc w:val="center"/>
              <w:rPr>
                <w:rFonts w:ascii="Arial" w:hAnsi="Arial" w:cs="Arial"/>
                <w:sz w:val="20"/>
                <w:szCs w:val="20"/>
              </w:rPr>
            </w:pPr>
            <w:r>
              <w:rPr>
                <w:rFonts w:ascii="Arial" w:hAnsi="Arial" w:cs="Arial"/>
                <w:sz w:val="20"/>
                <w:szCs w:val="20"/>
              </w:rPr>
              <w:t>5.67</w:t>
            </w:r>
          </w:p>
        </w:tc>
        <w:tc>
          <w:tcPr>
            <w:tcW w:w="1100" w:type="dxa"/>
            <w:tcBorders>
              <w:top w:val="single" w:sz="8" w:space="0" w:color="auto"/>
              <w:left w:val="nil"/>
              <w:bottom w:val="nil"/>
              <w:right w:val="nil"/>
            </w:tcBorders>
            <w:noWrap/>
            <w:vAlign w:val="bottom"/>
          </w:tcPr>
          <w:p w:rsidR="00000000" w:rsidRDefault="004A63C4">
            <w:pPr>
              <w:jc w:val="center"/>
              <w:rPr>
                <w:rFonts w:ascii="Arial" w:hAnsi="Arial" w:cs="Arial"/>
                <w:sz w:val="20"/>
                <w:szCs w:val="20"/>
              </w:rPr>
            </w:pPr>
            <w:r>
              <w:rPr>
                <w:rFonts w:ascii="Arial" w:hAnsi="Arial" w:cs="Arial"/>
                <w:sz w:val="20"/>
                <w:szCs w:val="20"/>
              </w:rPr>
              <w:t>11.56</w:t>
            </w:r>
          </w:p>
        </w:tc>
        <w:tc>
          <w:tcPr>
            <w:tcW w:w="1090" w:type="dxa"/>
            <w:tcBorders>
              <w:top w:val="single" w:sz="8" w:space="0" w:color="auto"/>
              <w:left w:val="nil"/>
              <w:bottom w:val="nil"/>
              <w:right w:val="nil"/>
            </w:tcBorders>
            <w:noWrap/>
            <w:vAlign w:val="bottom"/>
          </w:tcPr>
          <w:p w:rsidR="00000000" w:rsidRDefault="004A63C4">
            <w:pPr>
              <w:jc w:val="center"/>
              <w:rPr>
                <w:rFonts w:ascii="Arial" w:hAnsi="Arial" w:cs="Arial"/>
                <w:sz w:val="20"/>
                <w:szCs w:val="20"/>
              </w:rPr>
            </w:pPr>
            <w:r>
              <w:rPr>
                <w:rFonts w:ascii="Arial" w:hAnsi="Arial" w:cs="Arial"/>
                <w:sz w:val="20"/>
                <w:szCs w:val="20"/>
              </w:rPr>
              <w:t>57.48</w:t>
            </w:r>
          </w:p>
        </w:tc>
        <w:tc>
          <w:tcPr>
            <w:tcW w:w="1450" w:type="dxa"/>
            <w:tcBorders>
              <w:top w:val="single" w:sz="8" w:space="0" w:color="auto"/>
              <w:left w:val="nil"/>
              <w:bottom w:val="nil"/>
              <w:right w:val="nil"/>
            </w:tcBorders>
            <w:noWrap/>
            <w:vAlign w:val="bottom"/>
          </w:tcPr>
          <w:p w:rsidR="00000000" w:rsidRDefault="004A63C4">
            <w:pPr>
              <w:jc w:val="center"/>
              <w:rPr>
                <w:rFonts w:ascii="Arial" w:hAnsi="Arial" w:cs="Arial"/>
                <w:sz w:val="20"/>
                <w:szCs w:val="20"/>
              </w:rPr>
            </w:pPr>
            <w:r>
              <w:rPr>
                <w:rFonts w:ascii="Arial" w:hAnsi="Arial" w:cs="Arial"/>
                <w:sz w:val="20"/>
                <w:szCs w:val="20"/>
              </w:rPr>
              <w:t>-2.91</w:t>
            </w:r>
          </w:p>
        </w:tc>
        <w:tc>
          <w:tcPr>
            <w:tcW w:w="1570" w:type="dxa"/>
            <w:tcBorders>
              <w:top w:val="single" w:sz="8" w:space="0" w:color="auto"/>
              <w:left w:val="nil"/>
              <w:bottom w:val="nil"/>
              <w:right w:val="single" w:sz="8" w:space="0" w:color="auto"/>
            </w:tcBorders>
            <w:noWrap/>
            <w:vAlign w:val="bottom"/>
          </w:tcPr>
          <w:p w:rsidR="00000000" w:rsidRDefault="004A63C4">
            <w:pPr>
              <w:jc w:val="center"/>
              <w:rPr>
                <w:rFonts w:ascii="Arial" w:hAnsi="Arial" w:cs="Arial"/>
                <w:sz w:val="20"/>
                <w:szCs w:val="20"/>
              </w:rPr>
            </w:pPr>
            <w:r>
              <w:rPr>
                <w:rFonts w:ascii="Arial" w:hAnsi="Arial" w:cs="Arial"/>
                <w:sz w:val="20"/>
                <w:szCs w:val="20"/>
              </w:rPr>
              <w:t>279</w:t>
            </w:r>
          </w:p>
        </w:tc>
      </w:tr>
      <w:tr w:rsidR="00000000">
        <w:trPr>
          <w:trHeight w:val="264"/>
        </w:trPr>
        <w:tc>
          <w:tcPr>
            <w:tcW w:w="1860" w:type="dxa"/>
            <w:tcBorders>
              <w:top w:val="nil"/>
              <w:left w:val="single" w:sz="8" w:space="0" w:color="auto"/>
              <w:bottom w:val="nil"/>
              <w:right w:val="nil"/>
            </w:tcBorders>
            <w:noWrap/>
            <w:vAlign w:val="bottom"/>
          </w:tcPr>
          <w:p w:rsidR="00000000" w:rsidRDefault="004A63C4">
            <w:pPr>
              <w:rPr>
                <w:rFonts w:ascii="Arial" w:hAnsi="Arial" w:cs="Arial"/>
                <w:b/>
                <w:bCs/>
                <w:sz w:val="16"/>
                <w:szCs w:val="20"/>
              </w:rPr>
            </w:pPr>
            <w:r>
              <w:rPr>
                <w:rFonts w:ascii="Arial" w:hAnsi="Arial" w:cs="Arial"/>
                <w:b/>
                <w:bCs/>
                <w:sz w:val="16"/>
                <w:szCs w:val="20"/>
              </w:rPr>
              <w:t>Standard deviation</w:t>
            </w:r>
          </w:p>
        </w:tc>
        <w:tc>
          <w:tcPr>
            <w:tcW w:w="1150" w:type="dxa"/>
            <w:tcBorders>
              <w:top w:val="nil"/>
              <w:left w:val="nil"/>
              <w:bottom w:val="nil"/>
              <w:right w:val="nil"/>
            </w:tcBorders>
            <w:noWrap/>
            <w:vAlign w:val="bottom"/>
          </w:tcPr>
          <w:p w:rsidR="00000000" w:rsidRDefault="004A63C4">
            <w:pPr>
              <w:jc w:val="center"/>
              <w:rPr>
                <w:rFonts w:ascii="Arial" w:hAnsi="Arial" w:cs="Arial"/>
                <w:sz w:val="20"/>
                <w:szCs w:val="20"/>
              </w:rPr>
            </w:pPr>
            <w:r>
              <w:rPr>
                <w:rFonts w:ascii="Arial" w:hAnsi="Arial" w:cs="Arial"/>
                <w:sz w:val="20"/>
                <w:szCs w:val="20"/>
              </w:rPr>
              <w:t>3.67</w:t>
            </w:r>
          </w:p>
        </w:tc>
        <w:tc>
          <w:tcPr>
            <w:tcW w:w="1100" w:type="dxa"/>
            <w:tcBorders>
              <w:top w:val="nil"/>
              <w:left w:val="nil"/>
              <w:bottom w:val="nil"/>
              <w:right w:val="nil"/>
            </w:tcBorders>
            <w:noWrap/>
            <w:vAlign w:val="bottom"/>
          </w:tcPr>
          <w:p w:rsidR="00000000" w:rsidRDefault="004A63C4">
            <w:pPr>
              <w:jc w:val="center"/>
              <w:rPr>
                <w:rFonts w:ascii="Arial" w:hAnsi="Arial" w:cs="Arial"/>
                <w:sz w:val="20"/>
                <w:szCs w:val="20"/>
              </w:rPr>
            </w:pPr>
            <w:r>
              <w:rPr>
                <w:rFonts w:ascii="Arial" w:hAnsi="Arial" w:cs="Arial"/>
                <w:sz w:val="20"/>
                <w:szCs w:val="20"/>
              </w:rPr>
              <w:t>7.55</w:t>
            </w:r>
          </w:p>
        </w:tc>
        <w:tc>
          <w:tcPr>
            <w:tcW w:w="1090" w:type="dxa"/>
            <w:tcBorders>
              <w:top w:val="nil"/>
              <w:left w:val="nil"/>
              <w:bottom w:val="nil"/>
              <w:right w:val="nil"/>
            </w:tcBorders>
            <w:noWrap/>
            <w:vAlign w:val="bottom"/>
          </w:tcPr>
          <w:p w:rsidR="00000000" w:rsidRDefault="004A63C4">
            <w:pPr>
              <w:jc w:val="center"/>
              <w:rPr>
                <w:rFonts w:ascii="Arial" w:hAnsi="Arial" w:cs="Arial"/>
                <w:sz w:val="20"/>
                <w:szCs w:val="20"/>
              </w:rPr>
            </w:pPr>
            <w:r>
              <w:rPr>
                <w:rFonts w:ascii="Arial" w:hAnsi="Arial" w:cs="Arial"/>
                <w:sz w:val="20"/>
                <w:szCs w:val="20"/>
              </w:rPr>
              <w:t>27.54</w:t>
            </w:r>
          </w:p>
        </w:tc>
        <w:tc>
          <w:tcPr>
            <w:tcW w:w="1450" w:type="dxa"/>
            <w:tcBorders>
              <w:top w:val="nil"/>
              <w:left w:val="nil"/>
              <w:bottom w:val="nil"/>
              <w:right w:val="nil"/>
            </w:tcBorders>
            <w:noWrap/>
            <w:vAlign w:val="bottom"/>
          </w:tcPr>
          <w:p w:rsidR="00000000" w:rsidRDefault="004A63C4">
            <w:pPr>
              <w:jc w:val="center"/>
              <w:rPr>
                <w:rFonts w:ascii="Arial" w:hAnsi="Arial" w:cs="Arial"/>
                <w:sz w:val="20"/>
                <w:szCs w:val="20"/>
              </w:rPr>
            </w:pPr>
            <w:r>
              <w:rPr>
                <w:rFonts w:ascii="Arial" w:hAnsi="Arial" w:cs="Arial"/>
                <w:sz w:val="20"/>
                <w:szCs w:val="20"/>
              </w:rPr>
              <w:t>2.72</w:t>
            </w:r>
          </w:p>
        </w:tc>
        <w:tc>
          <w:tcPr>
            <w:tcW w:w="1570" w:type="dxa"/>
            <w:tcBorders>
              <w:top w:val="nil"/>
              <w:left w:val="nil"/>
              <w:bottom w:val="nil"/>
              <w:right w:val="single" w:sz="8" w:space="0" w:color="auto"/>
            </w:tcBorders>
            <w:noWrap/>
            <w:vAlign w:val="bottom"/>
          </w:tcPr>
          <w:p w:rsidR="00000000" w:rsidRDefault="004A63C4">
            <w:pPr>
              <w:jc w:val="center"/>
              <w:rPr>
                <w:rFonts w:ascii="Arial" w:hAnsi="Arial" w:cs="Arial"/>
                <w:sz w:val="20"/>
                <w:szCs w:val="20"/>
              </w:rPr>
            </w:pPr>
            <w:r>
              <w:rPr>
                <w:rFonts w:ascii="Arial" w:hAnsi="Arial" w:cs="Arial"/>
                <w:sz w:val="20"/>
                <w:szCs w:val="20"/>
              </w:rPr>
              <w:t>41</w:t>
            </w:r>
          </w:p>
        </w:tc>
      </w:tr>
      <w:tr w:rsidR="00000000">
        <w:trPr>
          <w:trHeight w:val="264"/>
        </w:trPr>
        <w:tc>
          <w:tcPr>
            <w:tcW w:w="1860" w:type="dxa"/>
            <w:tcBorders>
              <w:top w:val="nil"/>
              <w:left w:val="single" w:sz="8" w:space="0" w:color="auto"/>
              <w:bottom w:val="nil"/>
              <w:right w:val="nil"/>
            </w:tcBorders>
            <w:noWrap/>
            <w:vAlign w:val="bottom"/>
          </w:tcPr>
          <w:p w:rsidR="00000000" w:rsidRDefault="004A63C4">
            <w:pPr>
              <w:rPr>
                <w:rFonts w:ascii="Arial" w:hAnsi="Arial" w:cs="Arial"/>
                <w:b/>
                <w:bCs/>
                <w:sz w:val="16"/>
                <w:szCs w:val="20"/>
              </w:rPr>
            </w:pPr>
            <w:r>
              <w:rPr>
                <w:rFonts w:ascii="Arial" w:hAnsi="Arial" w:cs="Arial"/>
                <w:b/>
                <w:bCs/>
                <w:sz w:val="16"/>
                <w:szCs w:val="20"/>
              </w:rPr>
              <w:t>Maximum</w:t>
            </w:r>
          </w:p>
        </w:tc>
        <w:tc>
          <w:tcPr>
            <w:tcW w:w="1150" w:type="dxa"/>
            <w:tcBorders>
              <w:top w:val="nil"/>
              <w:left w:val="nil"/>
              <w:bottom w:val="nil"/>
              <w:right w:val="nil"/>
            </w:tcBorders>
            <w:noWrap/>
            <w:vAlign w:val="bottom"/>
          </w:tcPr>
          <w:p w:rsidR="00000000" w:rsidRDefault="004A63C4">
            <w:pPr>
              <w:jc w:val="center"/>
              <w:rPr>
                <w:rFonts w:ascii="Arial" w:hAnsi="Arial" w:cs="Arial"/>
                <w:sz w:val="20"/>
                <w:szCs w:val="20"/>
              </w:rPr>
            </w:pPr>
            <w:r>
              <w:rPr>
                <w:rFonts w:ascii="Arial" w:hAnsi="Arial" w:cs="Arial"/>
                <w:sz w:val="20"/>
                <w:szCs w:val="20"/>
              </w:rPr>
              <w:t>20.17</w:t>
            </w:r>
          </w:p>
        </w:tc>
        <w:tc>
          <w:tcPr>
            <w:tcW w:w="1100" w:type="dxa"/>
            <w:tcBorders>
              <w:top w:val="nil"/>
              <w:left w:val="nil"/>
              <w:bottom w:val="nil"/>
              <w:right w:val="nil"/>
            </w:tcBorders>
            <w:noWrap/>
            <w:vAlign w:val="bottom"/>
          </w:tcPr>
          <w:p w:rsidR="00000000" w:rsidRDefault="004A63C4">
            <w:pPr>
              <w:jc w:val="center"/>
              <w:rPr>
                <w:rFonts w:ascii="Arial" w:hAnsi="Arial" w:cs="Arial"/>
                <w:sz w:val="20"/>
                <w:szCs w:val="20"/>
              </w:rPr>
            </w:pPr>
            <w:r>
              <w:rPr>
                <w:rFonts w:ascii="Arial" w:hAnsi="Arial" w:cs="Arial"/>
                <w:sz w:val="20"/>
                <w:szCs w:val="20"/>
              </w:rPr>
              <w:t>42.47</w:t>
            </w:r>
          </w:p>
        </w:tc>
        <w:tc>
          <w:tcPr>
            <w:tcW w:w="1090" w:type="dxa"/>
            <w:tcBorders>
              <w:top w:val="nil"/>
              <w:left w:val="nil"/>
              <w:bottom w:val="nil"/>
              <w:right w:val="nil"/>
            </w:tcBorders>
            <w:noWrap/>
            <w:vAlign w:val="bottom"/>
          </w:tcPr>
          <w:p w:rsidR="00000000" w:rsidRDefault="004A63C4">
            <w:pPr>
              <w:jc w:val="center"/>
              <w:rPr>
                <w:rFonts w:ascii="Arial" w:hAnsi="Arial" w:cs="Arial"/>
                <w:sz w:val="20"/>
                <w:szCs w:val="20"/>
              </w:rPr>
            </w:pPr>
            <w:r>
              <w:rPr>
                <w:rFonts w:ascii="Arial" w:hAnsi="Arial" w:cs="Arial"/>
                <w:sz w:val="20"/>
                <w:szCs w:val="20"/>
              </w:rPr>
              <w:t>102.40</w:t>
            </w:r>
          </w:p>
        </w:tc>
        <w:tc>
          <w:tcPr>
            <w:tcW w:w="1450" w:type="dxa"/>
            <w:tcBorders>
              <w:top w:val="nil"/>
              <w:left w:val="nil"/>
              <w:bottom w:val="nil"/>
              <w:right w:val="nil"/>
            </w:tcBorders>
            <w:noWrap/>
            <w:vAlign w:val="bottom"/>
          </w:tcPr>
          <w:p w:rsidR="00000000" w:rsidRDefault="004A63C4">
            <w:pPr>
              <w:jc w:val="center"/>
              <w:rPr>
                <w:rFonts w:ascii="Arial" w:hAnsi="Arial" w:cs="Arial"/>
                <w:sz w:val="20"/>
                <w:szCs w:val="20"/>
              </w:rPr>
            </w:pPr>
            <w:r>
              <w:rPr>
                <w:rFonts w:ascii="Arial" w:hAnsi="Arial" w:cs="Arial"/>
                <w:sz w:val="20"/>
                <w:szCs w:val="20"/>
              </w:rPr>
              <w:t>12.</w:t>
            </w:r>
            <w:r>
              <w:rPr>
                <w:rFonts w:ascii="Arial" w:hAnsi="Arial" w:cs="Arial"/>
                <w:sz w:val="20"/>
                <w:szCs w:val="20"/>
              </w:rPr>
              <w:t>53</w:t>
            </w:r>
          </w:p>
        </w:tc>
        <w:tc>
          <w:tcPr>
            <w:tcW w:w="1570" w:type="dxa"/>
            <w:tcBorders>
              <w:top w:val="nil"/>
              <w:left w:val="nil"/>
              <w:bottom w:val="nil"/>
              <w:right w:val="single" w:sz="8" w:space="0" w:color="auto"/>
            </w:tcBorders>
            <w:noWrap/>
            <w:vAlign w:val="bottom"/>
          </w:tcPr>
          <w:p w:rsidR="00000000" w:rsidRDefault="004A63C4">
            <w:pPr>
              <w:jc w:val="center"/>
              <w:rPr>
                <w:rFonts w:ascii="Arial" w:hAnsi="Arial" w:cs="Arial"/>
                <w:sz w:val="20"/>
                <w:szCs w:val="20"/>
              </w:rPr>
            </w:pPr>
          </w:p>
        </w:tc>
      </w:tr>
      <w:tr w:rsidR="00000000">
        <w:trPr>
          <w:trHeight w:val="264"/>
        </w:trPr>
        <w:tc>
          <w:tcPr>
            <w:tcW w:w="1860" w:type="dxa"/>
            <w:tcBorders>
              <w:top w:val="nil"/>
              <w:left w:val="single" w:sz="8" w:space="0" w:color="auto"/>
              <w:bottom w:val="nil"/>
              <w:right w:val="nil"/>
            </w:tcBorders>
            <w:noWrap/>
            <w:vAlign w:val="bottom"/>
          </w:tcPr>
          <w:p w:rsidR="00000000" w:rsidRDefault="004A63C4">
            <w:pPr>
              <w:rPr>
                <w:rFonts w:ascii="Arial" w:hAnsi="Arial" w:cs="Arial"/>
                <w:b/>
                <w:bCs/>
                <w:sz w:val="16"/>
                <w:szCs w:val="20"/>
              </w:rPr>
            </w:pPr>
            <w:r>
              <w:rPr>
                <w:rFonts w:ascii="Arial" w:hAnsi="Arial" w:cs="Arial"/>
                <w:b/>
                <w:bCs/>
                <w:sz w:val="16"/>
                <w:szCs w:val="20"/>
              </w:rPr>
              <w:t>Minimum</w:t>
            </w:r>
          </w:p>
        </w:tc>
        <w:tc>
          <w:tcPr>
            <w:tcW w:w="1150" w:type="dxa"/>
            <w:tcBorders>
              <w:top w:val="nil"/>
              <w:left w:val="nil"/>
              <w:bottom w:val="nil"/>
              <w:right w:val="nil"/>
            </w:tcBorders>
            <w:noWrap/>
            <w:vAlign w:val="bottom"/>
          </w:tcPr>
          <w:p w:rsidR="00000000" w:rsidRDefault="004A63C4">
            <w:pPr>
              <w:jc w:val="center"/>
              <w:rPr>
                <w:rFonts w:ascii="Arial" w:hAnsi="Arial" w:cs="Arial"/>
                <w:sz w:val="20"/>
                <w:szCs w:val="20"/>
              </w:rPr>
            </w:pPr>
            <w:r>
              <w:rPr>
                <w:rFonts w:ascii="Arial" w:hAnsi="Arial" w:cs="Arial"/>
                <w:sz w:val="20"/>
                <w:szCs w:val="20"/>
              </w:rPr>
              <w:t>0.40</w:t>
            </w:r>
          </w:p>
        </w:tc>
        <w:tc>
          <w:tcPr>
            <w:tcW w:w="1100" w:type="dxa"/>
            <w:tcBorders>
              <w:top w:val="nil"/>
              <w:left w:val="nil"/>
              <w:bottom w:val="nil"/>
              <w:right w:val="nil"/>
            </w:tcBorders>
            <w:noWrap/>
            <w:vAlign w:val="bottom"/>
          </w:tcPr>
          <w:p w:rsidR="00000000" w:rsidRDefault="004A63C4">
            <w:pPr>
              <w:jc w:val="center"/>
              <w:rPr>
                <w:rFonts w:ascii="Arial" w:hAnsi="Arial" w:cs="Arial"/>
                <w:sz w:val="20"/>
                <w:szCs w:val="20"/>
              </w:rPr>
            </w:pPr>
            <w:r>
              <w:rPr>
                <w:rFonts w:ascii="Arial" w:hAnsi="Arial" w:cs="Arial"/>
                <w:sz w:val="20"/>
                <w:szCs w:val="20"/>
              </w:rPr>
              <w:t>0.70</w:t>
            </w:r>
          </w:p>
        </w:tc>
        <w:tc>
          <w:tcPr>
            <w:tcW w:w="1090" w:type="dxa"/>
            <w:tcBorders>
              <w:top w:val="nil"/>
              <w:left w:val="nil"/>
              <w:bottom w:val="nil"/>
              <w:right w:val="nil"/>
            </w:tcBorders>
            <w:noWrap/>
            <w:vAlign w:val="bottom"/>
          </w:tcPr>
          <w:p w:rsidR="00000000" w:rsidRDefault="004A63C4">
            <w:pPr>
              <w:jc w:val="center"/>
              <w:rPr>
                <w:rFonts w:ascii="Arial" w:hAnsi="Arial" w:cs="Arial"/>
                <w:sz w:val="20"/>
                <w:szCs w:val="20"/>
              </w:rPr>
            </w:pPr>
            <w:r>
              <w:rPr>
                <w:rFonts w:ascii="Arial" w:hAnsi="Arial" w:cs="Arial"/>
                <w:sz w:val="20"/>
                <w:szCs w:val="20"/>
              </w:rPr>
              <w:t>-2.15</w:t>
            </w:r>
          </w:p>
        </w:tc>
        <w:tc>
          <w:tcPr>
            <w:tcW w:w="1450" w:type="dxa"/>
            <w:tcBorders>
              <w:top w:val="nil"/>
              <w:left w:val="nil"/>
              <w:bottom w:val="nil"/>
              <w:right w:val="nil"/>
            </w:tcBorders>
            <w:noWrap/>
            <w:vAlign w:val="bottom"/>
          </w:tcPr>
          <w:p w:rsidR="00000000" w:rsidRDefault="004A63C4">
            <w:pPr>
              <w:jc w:val="center"/>
              <w:rPr>
                <w:rFonts w:ascii="Arial" w:hAnsi="Arial" w:cs="Arial"/>
                <w:sz w:val="20"/>
                <w:szCs w:val="20"/>
              </w:rPr>
            </w:pPr>
            <w:r>
              <w:rPr>
                <w:rFonts w:ascii="Arial" w:hAnsi="Arial" w:cs="Arial"/>
                <w:sz w:val="20"/>
                <w:szCs w:val="20"/>
              </w:rPr>
              <w:t>-9.42</w:t>
            </w:r>
          </w:p>
        </w:tc>
        <w:tc>
          <w:tcPr>
            <w:tcW w:w="1570" w:type="dxa"/>
            <w:tcBorders>
              <w:top w:val="nil"/>
              <w:left w:val="nil"/>
              <w:bottom w:val="nil"/>
              <w:right w:val="single" w:sz="8" w:space="0" w:color="auto"/>
            </w:tcBorders>
            <w:noWrap/>
            <w:vAlign w:val="bottom"/>
          </w:tcPr>
          <w:p w:rsidR="00000000" w:rsidRDefault="004A63C4">
            <w:pPr>
              <w:jc w:val="center"/>
              <w:rPr>
                <w:rFonts w:ascii="Arial" w:hAnsi="Arial" w:cs="Arial"/>
                <w:sz w:val="20"/>
                <w:szCs w:val="20"/>
              </w:rPr>
            </w:pPr>
          </w:p>
        </w:tc>
      </w:tr>
      <w:tr w:rsidR="00000000">
        <w:trPr>
          <w:trHeight w:val="276"/>
        </w:trPr>
        <w:tc>
          <w:tcPr>
            <w:tcW w:w="1860" w:type="dxa"/>
            <w:tcBorders>
              <w:top w:val="nil"/>
              <w:left w:val="single" w:sz="8" w:space="0" w:color="auto"/>
              <w:bottom w:val="single" w:sz="8" w:space="0" w:color="auto"/>
              <w:right w:val="nil"/>
            </w:tcBorders>
            <w:noWrap/>
            <w:vAlign w:val="bottom"/>
          </w:tcPr>
          <w:p w:rsidR="00000000" w:rsidRDefault="004A63C4">
            <w:pPr>
              <w:rPr>
                <w:rFonts w:ascii="Arial" w:hAnsi="Arial" w:cs="Arial"/>
                <w:b/>
                <w:bCs/>
                <w:sz w:val="16"/>
                <w:szCs w:val="20"/>
              </w:rPr>
            </w:pPr>
            <w:r>
              <w:rPr>
                <w:rFonts w:ascii="Arial" w:hAnsi="Arial" w:cs="Arial"/>
                <w:b/>
                <w:bCs/>
                <w:sz w:val="16"/>
                <w:szCs w:val="20"/>
              </w:rPr>
              <w:t>Number of observations</w:t>
            </w:r>
          </w:p>
        </w:tc>
        <w:tc>
          <w:tcPr>
            <w:tcW w:w="1150" w:type="dxa"/>
            <w:tcBorders>
              <w:top w:val="nil"/>
              <w:left w:val="nil"/>
              <w:bottom w:val="single" w:sz="8" w:space="0" w:color="auto"/>
              <w:right w:val="nil"/>
            </w:tcBorders>
            <w:noWrap/>
            <w:vAlign w:val="bottom"/>
          </w:tcPr>
          <w:p w:rsidR="00000000" w:rsidRDefault="004A63C4">
            <w:pPr>
              <w:jc w:val="center"/>
              <w:rPr>
                <w:rFonts w:ascii="Arial" w:hAnsi="Arial" w:cs="Arial"/>
                <w:sz w:val="16"/>
                <w:szCs w:val="20"/>
              </w:rPr>
            </w:pPr>
            <w:r>
              <w:rPr>
                <w:rFonts w:ascii="Arial" w:hAnsi="Arial" w:cs="Arial"/>
                <w:sz w:val="16"/>
                <w:szCs w:val="20"/>
              </w:rPr>
              <w:t>1263</w:t>
            </w:r>
          </w:p>
        </w:tc>
        <w:tc>
          <w:tcPr>
            <w:tcW w:w="1100" w:type="dxa"/>
            <w:tcBorders>
              <w:top w:val="nil"/>
              <w:left w:val="nil"/>
              <w:bottom w:val="single" w:sz="8" w:space="0" w:color="auto"/>
              <w:right w:val="nil"/>
            </w:tcBorders>
            <w:noWrap/>
            <w:vAlign w:val="bottom"/>
          </w:tcPr>
          <w:p w:rsidR="00000000" w:rsidRDefault="004A63C4">
            <w:pPr>
              <w:jc w:val="center"/>
              <w:rPr>
                <w:rFonts w:ascii="Arial" w:hAnsi="Arial" w:cs="Arial"/>
                <w:sz w:val="16"/>
                <w:szCs w:val="20"/>
              </w:rPr>
            </w:pPr>
            <w:r>
              <w:rPr>
                <w:rFonts w:ascii="Arial" w:hAnsi="Arial" w:cs="Arial"/>
                <w:sz w:val="16"/>
                <w:szCs w:val="20"/>
              </w:rPr>
              <w:t>1262</w:t>
            </w:r>
          </w:p>
        </w:tc>
        <w:tc>
          <w:tcPr>
            <w:tcW w:w="1090" w:type="dxa"/>
            <w:tcBorders>
              <w:top w:val="nil"/>
              <w:left w:val="nil"/>
              <w:bottom w:val="single" w:sz="8" w:space="0" w:color="auto"/>
              <w:right w:val="nil"/>
            </w:tcBorders>
            <w:noWrap/>
            <w:vAlign w:val="bottom"/>
          </w:tcPr>
          <w:p w:rsidR="00000000" w:rsidRDefault="004A63C4">
            <w:pPr>
              <w:jc w:val="center"/>
              <w:rPr>
                <w:rFonts w:ascii="Arial" w:hAnsi="Arial" w:cs="Arial"/>
                <w:sz w:val="16"/>
                <w:szCs w:val="20"/>
              </w:rPr>
            </w:pPr>
            <w:r>
              <w:rPr>
                <w:rFonts w:ascii="Arial" w:hAnsi="Arial" w:cs="Arial"/>
                <w:sz w:val="16"/>
                <w:szCs w:val="20"/>
              </w:rPr>
              <w:t>1263</w:t>
            </w:r>
          </w:p>
        </w:tc>
        <w:tc>
          <w:tcPr>
            <w:tcW w:w="1450" w:type="dxa"/>
            <w:tcBorders>
              <w:top w:val="nil"/>
              <w:left w:val="nil"/>
              <w:bottom w:val="single" w:sz="8" w:space="0" w:color="auto"/>
              <w:right w:val="nil"/>
            </w:tcBorders>
            <w:noWrap/>
            <w:vAlign w:val="bottom"/>
          </w:tcPr>
          <w:p w:rsidR="00000000" w:rsidRDefault="004A63C4">
            <w:pPr>
              <w:jc w:val="center"/>
              <w:rPr>
                <w:rFonts w:ascii="Arial" w:hAnsi="Arial" w:cs="Arial"/>
                <w:sz w:val="16"/>
                <w:szCs w:val="20"/>
              </w:rPr>
            </w:pPr>
            <w:r>
              <w:rPr>
                <w:rFonts w:ascii="Arial" w:hAnsi="Arial" w:cs="Arial"/>
                <w:sz w:val="16"/>
                <w:szCs w:val="20"/>
              </w:rPr>
              <w:t>1263</w:t>
            </w:r>
          </w:p>
        </w:tc>
        <w:tc>
          <w:tcPr>
            <w:tcW w:w="1570" w:type="dxa"/>
            <w:tcBorders>
              <w:top w:val="nil"/>
              <w:left w:val="nil"/>
              <w:bottom w:val="single" w:sz="8" w:space="0" w:color="auto"/>
              <w:right w:val="single" w:sz="8" w:space="0" w:color="auto"/>
            </w:tcBorders>
            <w:noWrap/>
            <w:vAlign w:val="bottom"/>
          </w:tcPr>
          <w:p w:rsidR="00000000" w:rsidRDefault="004A63C4">
            <w:pPr>
              <w:jc w:val="center"/>
              <w:rPr>
                <w:rFonts w:ascii="Arial" w:hAnsi="Arial" w:cs="Arial"/>
                <w:sz w:val="16"/>
                <w:szCs w:val="20"/>
              </w:rPr>
            </w:pPr>
            <w:r>
              <w:rPr>
                <w:rFonts w:ascii="Arial" w:hAnsi="Arial" w:cs="Arial"/>
                <w:sz w:val="16"/>
                <w:szCs w:val="20"/>
              </w:rPr>
              <w:t>1263</w:t>
            </w:r>
          </w:p>
        </w:tc>
      </w:tr>
    </w:tbl>
    <w:p w:rsidR="00000000" w:rsidRDefault="004A63C4">
      <w:pPr>
        <w:spacing w:after="240" w:line="360" w:lineRule="auto"/>
        <w:jc w:val="both"/>
        <w:rPr>
          <w:sz w:val="22"/>
        </w:rPr>
      </w:pPr>
    </w:p>
    <w:tbl>
      <w:tblPr>
        <w:tblW w:w="8220" w:type="dxa"/>
        <w:tblLayout w:type="fixed"/>
        <w:tblCellMar>
          <w:left w:w="0" w:type="dxa"/>
          <w:right w:w="0" w:type="dxa"/>
        </w:tblCellMar>
        <w:tblLook w:val="0000" w:firstRow="0" w:lastRow="0" w:firstColumn="0" w:lastColumn="0" w:noHBand="0" w:noVBand="0"/>
      </w:tblPr>
      <w:tblGrid>
        <w:gridCol w:w="1860"/>
        <w:gridCol w:w="1150"/>
        <w:gridCol w:w="1100"/>
        <w:gridCol w:w="1090"/>
        <w:gridCol w:w="1450"/>
        <w:gridCol w:w="1570"/>
      </w:tblGrid>
      <w:tr w:rsidR="00000000">
        <w:trPr>
          <w:trHeight w:val="219"/>
        </w:trPr>
        <w:tc>
          <w:tcPr>
            <w:tcW w:w="1860" w:type="dxa"/>
            <w:tcBorders>
              <w:top w:val="single" w:sz="8" w:space="0" w:color="auto"/>
              <w:left w:val="single" w:sz="8" w:space="0" w:color="auto"/>
              <w:bottom w:val="nil"/>
              <w:right w:val="nil"/>
            </w:tcBorders>
            <w:noWrap/>
            <w:vAlign w:val="bottom"/>
          </w:tcPr>
          <w:p w:rsidR="00000000" w:rsidRDefault="004A63C4">
            <w:pPr>
              <w:rPr>
                <w:rFonts w:ascii="Arial" w:hAnsi="Arial" w:cs="Arial"/>
                <w:b/>
                <w:bCs/>
                <w:sz w:val="20"/>
                <w:szCs w:val="20"/>
              </w:rPr>
            </w:pPr>
            <w:r>
              <w:rPr>
                <w:rFonts w:ascii="Arial" w:hAnsi="Arial" w:cs="Arial"/>
                <w:b/>
                <w:bCs/>
                <w:sz w:val="20"/>
                <w:szCs w:val="20"/>
              </w:rPr>
              <w:t>b) Coincident Data</w:t>
            </w:r>
          </w:p>
        </w:tc>
        <w:tc>
          <w:tcPr>
            <w:tcW w:w="1150" w:type="dxa"/>
            <w:tcBorders>
              <w:top w:val="single" w:sz="8" w:space="0" w:color="auto"/>
              <w:left w:val="nil"/>
              <w:bottom w:val="nil"/>
              <w:right w:val="nil"/>
            </w:tcBorders>
            <w:noWrap/>
            <w:vAlign w:val="bottom"/>
          </w:tcPr>
          <w:p w:rsidR="00000000" w:rsidRDefault="004A63C4">
            <w:pPr>
              <w:jc w:val="center"/>
              <w:rPr>
                <w:rFonts w:ascii="Arial" w:hAnsi="Arial" w:cs="Arial"/>
                <w:i/>
                <w:iCs/>
                <w:sz w:val="16"/>
                <w:szCs w:val="20"/>
              </w:rPr>
            </w:pPr>
            <w:r>
              <w:rPr>
                <w:rFonts w:ascii="Arial" w:hAnsi="Arial" w:cs="Arial"/>
                <w:i/>
                <w:iCs/>
                <w:sz w:val="16"/>
                <w:szCs w:val="20"/>
              </w:rPr>
              <w:t xml:space="preserve">Wind speed </w:t>
            </w:r>
          </w:p>
          <w:p w:rsidR="00000000" w:rsidRDefault="004A63C4">
            <w:pPr>
              <w:jc w:val="center"/>
              <w:rPr>
                <w:rFonts w:ascii="Arial" w:hAnsi="Arial" w:cs="Arial"/>
                <w:i/>
                <w:iCs/>
                <w:sz w:val="16"/>
                <w:szCs w:val="20"/>
              </w:rPr>
            </w:pPr>
            <w:r>
              <w:rPr>
                <w:rFonts w:ascii="Arial" w:hAnsi="Arial" w:cs="Arial"/>
                <w:i/>
                <w:iCs/>
                <w:sz w:val="16"/>
                <w:szCs w:val="20"/>
              </w:rPr>
              <w:t>(m s</w:t>
            </w:r>
            <w:r>
              <w:rPr>
                <w:rFonts w:ascii="Arial" w:hAnsi="Arial" w:cs="Arial"/>
                <w:i/>
                <w:iCs/>
                <w:sz w:val="16"/>
                <w:szCs w:val="20"/>
                <w:vertAlign w:val="superscript"/>
              </w:rPr>
              <w:t>-1</w:t>
            </w:r>
            <w:r>
              <w:rPr>
                <w:rFonts w:ascii="Arial" w:hAnsi="Arial" w:cs="Arial"/>
                <w:i/>
                <w:iCs/>
                <w:sz w:val="16"/>
                <w:szCs w:val="20"/>
              </w:rPr>
              <w:t>)</w:t>
            </w:r>
          </w:p>
        </w:tc>
        <w:tc>
          <w:tcPr>
            <w:tcW w:w="1100" w:type="dxa"/>
            <w:tcBorders>
              <w:top w:val="single" w:sz="8" w:space="0" w:color="auto"/>
              <w:left w:val="nil"/>
              <w:bottom w:val="nil"/>
              <w:right w:val="nil"/>
            </w:tcBorders>
            <w:noWrap/>
            <w:vAlign w:val="bottom"/>
          </w:tcPr>
          <w:p w:rsidR="00000000" w:rsidRDefault="004A63C4">
            <w:pPr>
              <w:pStyle w:val="Heading5"/>
            </w:pPr>
            <w:r>
              <w:t>Wind Gust</w:t>
            </w:r>
          </w:p>
          <w:p w:rsidR="00000000" w:rsidRDefault="004A63C4">
            <w:pPr>
              <w:pStyle w:val="Heading5"/>
            </w:pPr>
            <w:r>
              <w:rPr>
                <w:i w:val="0"/>
                <w:iCs w:val="0"/>
              </w:rPr>
              <w:t xml:space="preserve"> </w:t>
            </w:r>
            <w:r>
              <w:t>(m s</w:t>
            </w:r>
            <w:r>
              <w:rPr>
                <w:vertAlign w:val="superscript"/>
              </w:rPr>
              <w:t>-1</w:t>
            </w:r>
            <w:r>
              <w:t>)</w:t>
            </w:r>
          </w:p>
        </w:tc>
        <w:tc>
          <w:tcPr>
            <w:tcW w:w="1090" w:type="dxa"/>
            <w:tcBorders>
              <w:top w:val="single" w:sz="8" w:space="0" w:color="auto"/>
              <w:left w:val="nil"/>
              <w:bottom w:val="nil"/>
              <w:right w:val="nil"/>
            </w:tcBorders>
            <w:noWrap/>
            <w:vAlign w:val="bottom"/>
          </w:tcPr>
          <w:p w:rsidR="00000000" w:rsidRDefault="004A63C4">
            <w:pPr>
              <w:jc w:val="center"/>
              <w:rPr>
                <w:rFonts w:ascii="Arial" w:hAnsi="Arial" w:cs="Arial"/>
                <w:i/>
                <w:iCs/>
                <w:sz w:val="16"/>
                <w:szCs w:val="20"/>
              </w:rPr>
            </w:pPr>
            <w:r>
              <w:rPr>
                <w:rFonts w:ascii="Arial" w:hAnsi="Arial" w:cs="Arial"/>
                <w:i/>
                <w:iCs/>
                <w:sz w:val="16"/>
                <w:szCs w:val="20"/>
              </w:rPr>
              <w:t>Humidity</w:t>
            </w:r>
          </w:p>
          <w:p w:rsidR="00000000" w:rsidRDefault="004A63C4">
            <w:pPr>
              <w:jc w:val="center"/>
              <w:rPr>
                <w:rFonts w:ascii="Arial" w:hAnsi="Arial" w:cs="Arial"/>
                <w:i/>
                <w:iCs/>
                <w:sz w:val="16"/>
                <w:szCs w:val="20"/>
              </w:rPr>
            </w:pPr>
            <w:r>
              <w:rPr>
                <w:rFonts w:ascii="Arial" w:hAnsi="Arial" w:cs="Arial"/>
                <w:i/>
                <w:iCs/>
                <w:sz w:val="16"/>
                <w:szCs w:val="20"/>
              </w:rPr>
              <w:t>(%)</w:t>
            </w:r>
          </w:p>
        </w:tc>
        <w:tc>
          <w:tcPr>
            <w:tcW w:w="1450" w:type="dxa"/>
            <w:tcBorders>
              <w:top w:val="single" w:sz="8" w:space="0" w:color="auto"/>
              <w:left w:val="nil"/>
              <w:bottom w:val="nil"/>
              <w:right w:val="nil"/>
            </w:tcBorders>
            <w:noWrap/>
            <w:vAlign w:val="bottom"/>
          </w:tcPr>
          <w:p w:rsidR="00000000" w:rsidRDefault="004A63C4">
            <w:pPr>
              <w:jc w:val="center"/>
              <w:rPr>
                <w:rFonts w:ascii="Arial" w:hAnsi="Arial" w:cs="Arial"/>
                <w:i/>
                <w:iCs/>
                <w:sz w:val="16"/>
                <w:szCs w:val="20"/>
              </w:rPr>
            </w:pPr>
            <w:r>
              <w:rPr>
                <w:rFonts w:ascii="Arial" w:hAnsi="Arial" w:cs="Arial"/>
                <w:i/>
                <w:iCs/>
                <w:sz w:val="16"/>
                <w:szCs w:val="20"/>
              </w:rPr>
              <w:t>Temperature</w:t>
            </w:r>
          </w:p>
          <w:p w:rsidR="00000000" w:rsidRDefault="004A63C4">
            <w:pPr>
              <w:jc w:val="center"/>
              <w:rPr>
                <w:rFonts w:ascii="Arial" w:hAnsi="Arial" w:cs="Arial"/>
                <w:i/>
                <w:iCs/>
                <w:sz w:val="16"/>
                <w:szCs w:val="20"/>
              </w:rPr>
            </w:pPr>
            <w:r>
              <w:rPr>
                <w:rFonts w:ascii="Arial" w:hAnsi="Arial" w:cs="Arial"/>
                <w:i/>
                <w:iCs/>
                <w:sz w:val="16"/>
                <w:szCs w:val="20"/>
              </w:rPr>
              <w:t>(°C)</w:t>
            </w:r>
          </w:p>
        </w:tc>
        <w:tc>
          <w:tcPr>
            <w:tcW w:w="1570" w:type="dxa"/>
            <w:tcBorders>
              <w:top w:val="single" w:sz="8" w:space="0" w:color="auto"/>
              <w:left w:val="nil"/>
              <w:bottom w:val="nil"/>
              <w:right w:val="single" w:sz="8" w:space="0" w:color="auto"/>
            </w:tcBorders>
            <w:noWrap/>
            <w:vAlign w:val="bottom"/>
          </w:tcPr>
          <w:p w:rsidR="00000000" w:rsidRDefault="004A63C4">
            <w:pPr>
              <w:jc w:val="center"/>
              <w:rPr>
                <w:rFonts w:ascii="Arial" w:hAnsi="Arial" w:cs="Arial"/>
                <w:i/>
                <w:iCs/>
                <w:sz w:val="16"/>
                <w:szCs w:val="20"/>
              </w:rPr>
            </w:pPr>
            <w:r>
              <w:rPr>
                <w:rFonts w:ascii="Arial" w:hAnsi="Arial" w:cs="Arial"/>
                <w:i/>
                <w:iCs/>
                <w:sz w:val="16"/>
                <w:szCs w:val="20"/>
              </w:rPr>
              <w:t>Wind direction</w:t>
            </w:r>
          </w:p>
          <w:p w:rsidR="00000000" w:rsidRDefault="004A63C4">
            <w:pPr>
              <w:jc w:val="center"/>
              <w:rPr>
                <w:rFonts w:ascii="Arial" w:hAnsi="Arial" w:cs="Arial"/>
                <w:i/>
                <w:iCs/>
                <w:sz w:val="16"/>
                <w:szCs w:val="20"/>
              </w:rPr>
            </w:pPr>
            <w:r>
              <w:rPr>
                <w:rFonts w:ascii="Arial" w:hAnsi="Arial" w:cs="Arial"/>
                <w:i/>
                <w:iCs/>
                <w:sz w:val="16"/>
                <w:szCs w:val="20"/>
              </w:rPr>
              <w:t>(degrees true)</w:t>
            </w:r>
          </w:p>
        </w:tc>
      </w:tr>
      <w:tr w:rsidR="00000000">
        <w:trPr>
          <w:trHeight w:val="264"/>
        </w:trPr>
        <w:tc>
          <w:tcPr>
            <w:tcW w:w="1860" w:type="dxa"/>
            <w:tcBorders>
              <w:top w:val="single" w:sz="8" w:space="0" w:color="auto"/>
              <w:left w:val="single" w:sz="8" w:space="0" w:color="auto"/>
              <w:bottom w:val="nil"/>
              <w:right w:val="nil"/>
            </w:tcBorders>
            <w:noWrap/>
            <w:vAlign w:val="bottom"/>
          </w:tcPr>
          <w:p w:rsidR="00000000" w:rsidRDefault="004A63C4">
            <w:pPr>
              <w:pStyle w:val="Heading4"/>
            </w:pPr>
            <w:r>
              <w:t>Average</w:t>
            </w:r>
          </w:p>
        </w:tc>
        <w:tc>
          <w:tcPr>
            <w:tcW w:w="1150" w:type="dxa"/>
            <w:tcBorders>
              <w:top w:val="single" w:sz="8" w:space="0" w:color="auto"/>
              <w:left w:val="nil"/>
              <w:bottom w:val="nil"/>
              <w:right w:val="nil"/>
            </w:tcBorders>
            <w:noWrap/>
            <w:vAlign w:val="bottom"/>
          </w:tcPr>
          <w:p w:rsidR="00000000" w:rsidRDefault="004A63C4">
            <w:pPr>
              <w:jc w:val="center"/>
              <w:rPr>
                <w:rFonts w:ascii="Arial" w:hAnsi="Arial" w:cs="Arial"/>
                <w:sz w:val="20"/>
                <w:szCs w:val="20"/>
              </w:rPr>
            </w:pPr>
            <w:r>
              <w:rPr>
                <w:rFonts w:ascii="Arial" w:hAnsi="Arial" w:cs="Arial"/>
                <w:sz w:val="20"/>
                <w:szCs w:val="20"/>
              </w:rPr>
              <w:t>5.21</w:t>
            </w:r>
          </w:p>
        </w:tc>
        <w:tc>
          <w:tcPr>
            <w:tcW w:w="1100" w:type="dxa"/>
            <w:tcBorders>
              <w:top w:val="single" w:sz="8" w:space="0" w:color="auto"/>
              <w:left w:val="nil"/>
              <w:bottom w:val="nil"/>
              <w:right w:val="nil"/>
            </w:tcBorders>
            <w:noWrap/>
            <w:vAlign w:val="bottom"/>
          </w:tcPr>
          <w:p w:rsidR="00000000" w:rsidRDefault="004A63C4">
            <w:pPr>
              <w:jc w:val="center"/>
              <w:rPr>
                <w:rFonts w:ascii="Arial" w:hAnsi="Arial" w:cs="Arial"/>
                <w:sz w:val="20"/>
                <w:szCs w:val="20"/>
              </w:rPr>
            </w:pPr>
            <w:r>
              <w:rPr>
                <w:rFonts w:ascii="Arial" w:hAnsi="Arial" w:cs="Arial"/>
                <w:sz w:val="20"/>
                <w:szCs w:val="20"/>
              </w:rPr>
              <w:t>10.68</w:t>
            </w:r>
          </w:p>
        </w:tc>
        <w:tc>
          <w:tcPr>
            <w:tcW w:w="1090" w:type="dxa"/>
            <w:tcBorders>
              <w:top w:val="single" w:sz="8" w:space="0" w:color="auto"/>
              <w:left w:val="nil"/>
              <w:bottom w:val="nil"/>
              <w:right w:val="nil"/>
            </w:tcBorders>
            <w:noWrap/>
            <w:vAlign w:val="bottom"/>
          </w:tcPr>
          <w:p w:rsidR="00000000" w:rsidRDefault="004A63C4">
            <w:pPr>
              <w:jc w:val="center"/>
              <w:rPr>
                <w:rFonts w:ascii="Arial" w:hAnsi="Arial" w:cs="Arial"/>
                <w:sz w:val="20"/>
                <w:szCs w:val="20"/>
              </w:rPr>
            </w:pPr>
            <w:r>
              <w:rPr>
                <w:rFonts w:ascii="Arial" w:hAnsi="Arial" w:cs="Arial"/>
                <w:sz w:val="20"/>
                <w:szCs w:val="20"/>
              </w:rPr>
              <w:t>59.28</w:t>
            </w:r>
          </w:p>
        </w:tc>
        <w:tc>
          <w:tcPr>
            <w:tcW w:w="1450" w:type="dxa"/>
            <w:tcBorders>
              <w:top w:val="single" w:sz="8" w:space="0" w:color="auto"/>
              <w:left w:val="nil"/>
              <w:bottom w:val="nil"/>
              <w:right w:val="nil"/>
            </w:tcBorders>
            <w:noWrap/>
            <w:vAlign w:val="bottom"/>
          </w:tcPr>
          <w:p w:rsidR="00000000" w:rsidRDefault="004A63C4">
            <w:pPr>
              <w:jc w:val="center"/>
              <w:rPr>
                <w:rFonts w:ascii="Arial" w:hAnsi="Arial" w:cs="Arial"/>
                <w:sz w:val="20"/>
                <w:szCs w:val="20"/>
              </w:rPr>
            </w:pPr>
            <w:r>
              <w:rPr>
                <w:rFonts w:ascii="Arial" w:hAnsi="Arial" w:cs="Arial"/>
                <w:sz w:val="20"/>
                <w:szCs w:val="20"/>
              </w:rPr>
              <w:t>-3.31</w:t>
            </w:r>
          </w:p>
        </w:tc>
        <w:tc>
          <w:tcPr>
            <w:tcW w:w="1570" w:type="dxa"/>
            <w:tcBorders>
              <w:top w:val="single" w:sz="8" w:space="0" w:color="auto"/>
              <w:left w:val="nil"/>
              <w:bottom w:val="nil"/>
              <w:right w:val="single" w:sz="8" w:space="0" w:color="auto"/>
            </w:tcBorders>
            <w:noWrap/>
            <w:vAlign w:val="bottom"/>
          </w:tcPr>
          <w:p w:rsidR="00000000" w:rsidRDefault="004A63C4">
            <w:pPr>
              <w:jc w:val="center"/>
              <w:rPr>
                <w:rFonts w:ascii="Arial" w:hAnsi="Arial" w:cs="Arial"/>
                <w:sz w:val="20"/>
                <w:szCs w:val="20"/>
              </w:rPr>
            </w:pPr>
            <w:r>
              <w:rPr>
                <w:rFonts w:ascii="Arial" w:hAnsi="Arial" w:cs="Arial"/>
                <w:sz w:val="20"/>
                <w:szCs w:val="20"/>
              </w:rPr>
              <w:t>285</w:t>
            </w:r>
          </w:p>
        </w:tc>
      </w:tr>
      <w:tr w:rsidR="00000000">
        <w:trPr>
          <w:trHeight w:val="264"/>
        </w:trPr>
        <w:tc>
          <w:tcPr>
            <w:tcW w:w="1860" w:type="dxa"/>
            <w:tcBorders>
              <w:top w:val="nil"/>
              <w:left w:val="single" w:sz="8" w:space="0" w:color="auto"/>
              <w:bottom w:val="nil"/>
              <w:right w:val="nil"/>
            </w:tcBorders>
            <w:noWrap/>
            <w:vAlign w:val="bottom"/>
          </w:tcPr>
          <w:p w:rsidR="00000000" w:rsidRDefault="004A63C4">
            <w:pPr>
              <w:rPr>
                <w:rFonts w:ascii="Arial" w:hAnsi="Arial" w:cs="Arial"/>
                <w:b/>
                <w:bCs/>
                <w:sz w:val="16"/>
                <w:szCs w:val="20"/>
              </w:rPr>
            </w:pPr>
            <w:r>
              <w:rPr>
                <w:rFonts w:ascii="Arial" w:hAnsi="Arial" w:cs="Arial"/>
                <w:b/>
                <w:bCs/>
                <w:sz w:val="16"/>
                <w:szCs w:val="20"/>
              </w:rPr>
              <w:t>Standard devia</w:t>
            </w:r>
            <w:r>
              <w:rPr>
                <w:rFonts w:ascii="Arial" w:hAnsi="Arial" w:cs="Arial"/>
                <w:b/>
                <w:bCs/>
                <w:sz w:val="16"/>
                <w:szCs w:val="20"/>
              </w:rPr>
              <w:t>tion</w:t>
            </w:r>
          </w:p>
        </w:tc>
        <w:tc>
          <w:tcPr>
            <w:tcW w:w="1150" w:type="dxa"/>
            <w:tcBorders>
              <w:top w:val="nil"/>
              <w:left w:val="nil"/>
              <w:bottom w:val="nil"/>
              <w:right w:val="nil"/>
            </w:tcBorders>
            <w:noWrap/>
            <w:vAlign w:val="bottom"/>
          </w:tcPr>
          <w:p w:rsidR="00000000" w:rsidRDefault="004A63C4">
            <w:pPr>
              <w:jc w:val="center"/>
              <w:rPr>
                <w:rFonts w:ascii="Arial" w:hAnsi="Arial" w:cs="Arial"/>
                <w:sz w:val="20"/>
                <w:szCs w:val="20"/>
              </w:rPr>
            </w:pPr>
            <w:r>
              <w:rPr>
                <w:rFonts w:ascii="Arial" w:hAnsi="Arial" w:cs="Arial"/>
                <w:sz w:val="20"/>
                <w:szCs w:val="20"/>
              </w:rPr>
              <w:t>3.13</w:t>
            </w:r>
          </w:p>
        </w:tc>
        <w:tc>
          <w:tcPr>
            <w:tcW w:w="1100" w:type="dxa"/>
            <w:tcBorders>
              <w:top w:val="nil"/>
              <w:left w:val="nil"/>
              <w:bottom w:val="nil"/>
              <w:right w:val="nil"/>
            </w:tcBorders>
            <w:noWrap/>
            <w:vAlign w:val="bottom"/>
          </w:tcPr>
          <w:p w:rsidR="00000000" w:rsidRDefault="004A63C4">
            <w:pPr>
              <w:jc w:val="center"/>
              <w:rPr>
                <w:rFonts w:ascii="Arial" w:hAnsi="Arial" w:cs="Arial"/>
                <w:sz w:val="20"/>
                <w:szCs w:val="20"/>
              </w:rPr>
            </w:pPr>
            <w:r>
              <w:rPr>
                <w:rFonts w:ascii="Arial" w:hAnsi="Arial" w:cs="Arial"/>
                <w:sz w:val="20"/>
                <w:szCs w:val="20"/>
              </w:rPr>
              <w:t>6.92</w:t>
            </w:r>
          </w:p>
        </w:tc>
        <w:tc>
          <w:tcPr>
            <w:tcW w:w="1090" w:type="dxa"/>
            <w:tcBorders>
              <w:top w:val="nil"/>
              <w:left w:val="nil"/>
              <w:bottom w:val="nil"/>
              <w:right w:val="nil"/>
            </w:tcBorders>
            <w:noWrap/>
            <w:vAlign w:val="bottom"/>
          </w:tcPr>
          <w:p w:rsidR="00000000" w:rsidRDefault="004A63C4">
            <w:pPr>
              <w:jc w:val="center"/>
              <w:rPr>
                <w:rFonts w:ascii="Arial" w:hAnsi="Arial" w:cs="Arial"/>
                <w:sz w:val="20"/>
                <w:szCs w:val="20"/>
              </w:rPr>
            </w:pPr>
            <w:r>
              <w:rPr>
                <w:rFonts w:ascii="Arial" w:hAnsi="Arial" w:cs="Arial"/>
                <w:sz w:val="20"/>
                <w:szCs w:val="20"/>
              </w:rPr>
              <w:t>22.68</w:t>
            </w:r>
          </w:p>
        </w:tc>
        <w:tc>
          <w:tcPr>
            <w:tcW w:w="1450" w:type="dxa"/>
            <w:tcBorders>
              <w:top w:val="nil"/>
              <w:left w:val="nil"/>
              <w:bottom w:val="nil"/>
              <w:right w:val="nil"/>
            </w:tcBorders>
            <w:noWrap/>
            <w:vAlign w:val="bottom"/>
          </w:tcPr>
          <w:p w:rsidR="00000000" w:rsidRDefault="004A63C4">
            <w:pPr>
              <w:jc w:val="center"/>
              <w:rPr>
                <w:rFonts w:ascii="Arial" w:hAnsi="Arial" w:cs="Arial"/>
                <w:sz w:val="20"/>
                <w:szCs w:val="20"/>
              </w:rPr>
            </w:pPr>
            <w:r>
              <w:rPr>
                <w:rFonts w:ascii="Arial" w:hAnsi="Arial" w:cs="Arial"/>
                <w:sz w:val="20"/>
                <w:szCs w:val="20"/>
              </w:rPr>
              <w:t>2.42</w:t>
            </w:r>
          </w:p>
        </w:tc>
        <w:tc>
          <w:tcPr>
            <w:tcW w:w="1570" w:type="dxa"/>
            <w:tcBorders>
              <w:top w:val="nil"/>
              <w:left w:val="nil"/>
              <w:bottom w:val="nil"/>
              <w:right w:val="single" w:sz="8" w:space="0" w:color="auto"/>
            </w:tcBorders>
            <w:noWrap/>
            <w:vAlign w:val="bottom"/>
          </w:tcPr>
          <w:p w:rsidR="00000000" w:rsidRDefault="004A63C4">
            <w:pPr>
              <w:jc w:val="center"/>
              <w:rPr>
                <w:rFonts w:ascii="Arial" w:hAnsi="Arial" w:cs="Arial"/>
                <w:sz w:val="20"/>
                <w:szCs w:val="20"/>
              </w:rPr>
            </w:pPr>
            <w:r>
              <w:rPr>
                <w:rFonts w:ascii="Arial" w:hAnsi="Arial" w:cs="Arial"/>
                <w:sz w:val="20"/>
                <w:szCs w:val="20"/>
              </w:rPr>
              <w:t>37</w:t>
            </w:r>
          </w:p>
        </w:tc>
      </w:tr>
      <w:tr w:rsidR="00000000">
        <w:trPr>
          <w:trHeight w:val="264"/>
        </w:trPr>
        <w:tc>
          <w:tcPr>
            <w:tcW w:w="1860" w:type="dxa"/>
            <w:tcBorders>
              <w:top w:val="nil"/>
              <w:left w:val="single" w:sz="8" w:space="0" w:color="auto"/>
              <w:bottom w:val="nil"/>
              <w:right w:val="nil"/>
            </w:tcBorders>
            <w:noWrap/>
            <w:vAlign w:val="bottom"/>
          </w:tcPr>
          <w:p w:rsidR="00000000" w:rsidRDefault="004A63C4">
            <w:pPr>
              <w:rPr>
                <w:rFonts w:ascii="Arial" w:hAnsi="Arial" w:cs="Arial"/>
                <w:b/>
                <w:bCs/>
                <w:sz w:val="16"/>
                <w:szCs w:val="20"/>
              </w:rPr>
            </w:pPr>
            <w:r>
              <w:rPr>
                <w:rFonts w:ascii="Arial" w:hAnsi="Arial" w:cs="Arial"/>
                <w:b/>
                <w:bCs/>
                <w:sz w:val="16"/>
                <w:szCs w:val="20"/>
              </w:rPr>
              <w:t>Maximum</w:t>
            </w:r>
          </w:p>
        </w:tc>
        <w:tc>
          <w:tcPr>
            <w:tcW w:w="1150" w:type="dxa"/>
            <w:tcBorders>
              <w:top w:val="nil"/>
              <w:left w:val="nil"/>
              <w:bottom w:val="nil"/>
              <w:right w:val="nil"/>
            </w:tcBorders>
            <w:noWrap/>
            <w:vAlign w:val="bottom"/>
          </w:tcPr>
          <w:p w:rsidR="00000000" w:rsidRDefault="004A63C4">
            <w:pPr>
              <w:jc w:val="center"/>
              <w:rPr>
                <w:rFonts w:ascii="Arial" w:hAnsi="Arial" w:cs="Arial"/>
                <w:sz w:val="20"/>
                <w:szCs w:val="20"/>
              </w:rPr>
            </w:pPr>
            <w:r>
              <w:rPr>
                <w:rFonts w:ascii="Arial" w:hAnsi="Arial" w:cs="Arial"/>
                <w:sz w:val="20"/>
                <w:szCs w:val="20"/>
              </w:rPr>
              <w:t>18.30</w:t>
            </w:r>
          </w:p>
        </w:tc>
        <w:tc>
          <w:tcPr>
            <w:tcW w:w="1100" w:type="dxa"/>
            <w:tcBorders>
              <w:top w:val="nil"/>
              <w:left w:val="nil"/>
              <w:bottom w:val="nil"/>
              <w:right w:val="nil"/>
            </w:tcBorders>
            <w:noWrap/>
            <w:vAlign w:val="bottom"/>
          </w:tcPr>
          <w:p w:rsidR="00000000" w:rsidRDefault="004A63C4">
            <w:pPr>
              <w:jc w:val="center"/>
              <w:rPr>
                <w:rFonts w:ascii="Arial" w:hAnsi="Arial" w:cs="Arial"/>
                <w:sz w:val="20"/>
                <w:szCs w:val="20"/>
              </w:rPr>
            </w:pPr>
            <w:r>
              <w:rPr>
                <w:rFonts w:ascii="Arial" w:hAnsi="Arial" w:cs="Arial"/>
                <w:sz w:val="20"/>
                <w:szCs w:val="20"/>
              </w:rPr>
              <w:t>32.03</w:t>
            </w:r>
          </w:p>
        </w:tc>
        <w:tc>
          <w:tcPr>
            <w:tcW w:w="1090" w:type="dxa"/>
            <w:tcBorders>
              <w:top w:val="nil"/>
              <w:left w:val="nil"/>
              <w:bottom w:val="nil"/>
              <w:right w:val="nil"/>
            </w:tcBorders>
            <w:noWrap/>
            <w:vAlign w:val="bottom"/>
          </w:tcPr>
          <w:p w:rsidR="00000000" w:rsidRDefault="004A63C4">
            <w:pPr>
              <w:jc w:val="center"/>
              <w:rPr>
                <w:rFonts w:ascii="Arial" w:hAnsi="Arial" w:cs="Arial"/>
                <w:sz w:val="20"/>
                <w:szCs w:val="20"/>
              </w:rPr>
            </w:pPr>
            <w:r>
              <w:rPr>
                <w:rFonts w:ascii="Arial" w:hAnsi="Arial" w:cs="Arial"/>
                <w:sz w:val="20"/>
                <w:szCs w:val="20"/>
              </w:rPr>
              <w:t>96.68</w:t>
            </w:r>
          </w:p>
        </w:tc>
        <w:tc>
          <w:tcPr>
            <w:tcW w:w="1450" w:type="dxa"/>
            <w:tcBorders>
              <w:top w:val="nil"/>
              <w:left w:val="nil"/>
              <w:bottom w:val="nil"/>
              <w:right w:val="nil"/>
            </w:tcBorders>
            <w:noWrap/>
            <w:vAlign w:val="bottom"/>
          </w:tcPr>
          <w:p w:rsidR="00000000" w:rsidRDefault="004A63C4">
            <w:pPr>
              <w:jc w:val="center"/>
              <w:rPr>
                <w:rFonts w:ascii="Arial" w:hAnsi="Arial" w:cs="Arial"/>
                <w:sz w:val="20"/>
                <w:szCs w:val="20"/>
              </w:rPr>
            </w:pPr>
            <w:r>
              <w:rPr>
                <w:rFonts w:ascii="Arial" w:hAnsi="Arial" w:cs="Arial"/>
                <w:sz w:val="20"/>
                <w:szCs w:val="20"/>
              </w:rPr>
              <w:t>12.16</w:t>
            </w:r>
          </w:p>
        </w:tc>
        <w:tc>
          <w:tcPr>
            <w:tcW w:w="1570" w:type="dxa"/>
            <w:tcBorders>
              <w:top w:val="nil"/>
              <w:left w:val="nil"/>
              <w:bottom w:val="nil"/>
              <w:right w:val="single" w:sz="8" w:space="0" w:color="auto"/>
            </w:tcBorders>
            <w:noWrap/>
            <w:vAlign w:val="bottom"/>
          </w:tcPr>
          <w:p w:rsidR="00000000" w:rsidRDefault="004A63C4">
            <w:pPr>
              <w:jc w:val="center"/>
              <w:rPr>
                <w:rFonts w:ascii="Arial" w:hAnsi="Arial" w:cs="Arial"/>
                <w:sz w:val="20"/>
                <w:szCs w:val="20"/>
              </w:rPr>
            </w:pPr>
          </w:p>
        </w:tc>
      </w:tr>
      <w:tr w:rsidR="00000000">
        <w:trPr>
          <w:trHeight w:val="264"/>
        </w:trPr>
        <w:tc>
          <w:tcPr>
            <w:tcW w:w="1860" w:type="dxa"/>
            <w:tcBorders>
              <w:top w:val="nil"/>
              <w:left w:val="single" w:sz="8" w:space="0" w:color="auto"/>
              <w:bottom w:val="nil"/>
              <w:right w:val="nil"/>
            </w:tcBorders>
            <w:noWrap/>
            <w:vAlign w:val="bottom"/>
          </w:tcPr>
          <w:p w:rsidR="00000000" w:rsidRDefault="004A63C4">
            <w:pPr>
              <w:rPr>
                <w:rFonts w:ascii="Arial" w:hAnsi="Arial" w:cs="Arial"/>
                <w:b/>
                <w:bCs/>
                <w:sz w:val="16"/>
                <w:szCs w:val="20"/>
              </w:rPr>
            </w:pPr>
            <w:r>
              <w:rPr>
                <w:rFonts w:ascii="Arial" w:hAnsi="Arial" w:cs="Arial"/>
                <w:b/>
                <w:bCs/>
                <w:sz w:val="16"/>
                <w:szCs w:val="20"/>
              </w:rPr>
              <w:t>Minimum</w:t>
            </w:r>
          </w:p>
        </w:tc>
        <w:tc>
          <w:tcPr>
            <w:tcW w:w="1150" w:type="dxa"/>
            <w:tcBorders>
              <w:top w:val="nil"/>
              <w:left w:val="nil"/>
              <w:bottom w:val="nil"/>
              <w:right w:val="nil"/>
            </w:tcBorders>
            <w:noWrap/>
            <w:vAlign w:val="bottom"/>
          </w:tcPr>
          <w:p w:rsidR="00000000" w:rsidRDefault="004A63C4">
            <w:pPr>
              <w:jc w:val="center"/>
              <w:rPr>
                <w:rFonts w:ascii="Arial" w:hAnsi="Arial" w:cs="Arial"/>
                <w:sz w:val="20"/>
                <w:szCs w:val="20"/>
              </w:rPr>
            </w:pPr>
            <w:r>
              <w:rPr>
                <w:rFonts w:ascii="Arial" w:hAnsi="Arial" w:cs="Arial"/>
                <w:sz w:val="20"/>
                <w:szCs w:val="20"/>
              </w:rPr>
              <w:t>0.74</w:t>
            </w:r>
          </w:p>
        </w:tc>
        <w:tc>
          <w:tcPr>
            <w:tcW w:w="1100" w:type="dxa"/>
            <w:tcBorders>
              <w:top w:val="nil"/>
              <w:left w:val="nil"/>
              <w:bottom w:val="nil"/>
              <w:right w:val="nil"/>
            </w:tcBorders>
            <w:noWrap/>
            <w:vAlign w:val="bottom"/>
          </w:tcPr>
          <w:p w:rsidR="00000000" w:rsidRDefault="004A63C4">
            <w:pPr>
              <w:jc w:val="center"/>
              <w:rPr>
                <w:rFonts w:ascii="Arial" w:hAnsi="Arial" w:cs="Arial"/>
                <w:sz w:val="20"/>
                <w:szCs w:val="20"/>
              </w:rPr>
            </w:pPr>
            <w:r>
              <w:rPr>
                <w:rFonts w:ascii="Arial" w:hAnsi="Arial" w:cs="Arial"/>
                <w:sz w:val="20"/>
                <w:szCs w:val="20"/>
              </w:rPr>
              <w:t>1.59</w:t>
            </w:r>
          </w:p>
        </w:tc>
        <w:tc>
          <w:tcPr>
            <w:tcW w:w="1090" w:type="dxa"/>
            <w:tcBorders>
              <w:top w:val="nil"/>
              <w:left w:val="nil"/>
              <w:bottom w:val="nil"/>
              <w:right w:val="nil"/>
            </w:tcBorders>
            <w:noWrap/>
            <w:vAlign w:val="bottom"/>
          </w:tcPr>
          <w:p w:rsidR="00000000" w:rsidRDefault="004A63C4">
            <w:pPr>
              <w:jc w:val="center"/>
              <w:rPr>
                <w:rFonts w:ascii="Arial" w:hAnsi="Arial" w:cs="Arial"/>
                <w:sz w:val="20"/>
                <w:szCs w:val="20"/>
              </w:rPr>
            </w:pPr>
            <w:r>
              <w:rPr>
                <w:rFonts w:ascii="Arial" w:hAnsi="Arial" w:cs="Arial"/>
                <w:sz w:val="20"/>
                <w:szCs w:val="20"/>
              </w:rPr>
              <w:t>2.66</w:t>
            </w:r>
          </w:p>
        </w:tc>
        <w:tc>
          <w:tcPr>
            <w:tcW w:w="1450" w:type="dxa"/>
            <w:tcBorders>
              <w:top w:val="nil"/>
              <w:left w:val="nil"/>
              <w:bottom w:val="nil"/>
              <w:right w:val="nil"/>
            </w:tcBorders>
            <w:noWrap/>
            <w:vAlign w:val="bottom"/>
          </w:tcPr>
          <w:p w:rsidR="00000000" w:rsidRDefault="004A63C4">
            <w:pPr>
              <w:jc w:val="center"/>
              <w:rPr>
                <w:rFonts w:ascii="Arial" w:hAnsi="Arial" w:cs="Arial"/>
                <w:sz w:val="20"/>
                <w:szCs w:val="20"/>
              </w:rPr>
            </w:pPr>
            <w:r>
              <w:rPr>
                <w:rFonts w:ascii="Arial" w:hAnsi="Arial" w:cs="Arial"/>
                <w:sz w:val="20"/>
                <w:szCs w:val="20"/>
              </w:rPr>
              <w:t>-9.28</w:t>
            </w:r>
          </w:p>
        </w:tc>
        <w:tc>
          <w:tcPr>
            <w:tcW w:w="1570" w:type="dxa"/>
            <w:tcBorders>
              <w:top w:val="nil"/>
              <w:left w:val="nil"/>
              <w:bottom w:val="nil"/>
              <w:right w:val="single" w:sz="8" w:space="0" w:color="auto"/>
            </w:tcBorders>
            <w:noWrap/>
            <w:vAlign w:val="bottom"/>
          </w:tcPr>
          <w:p w:rsidR="00000000" w:rsidRDefault="004A63C4">
            <w:pPr>
              <w:jc w:val="center"/>
              <w:rPr>
                <w:rFonts w:ascii="Arial" w:hAnsi="Arial" w:cs="Arial"/>
                <w:sz w:val="20"/>
                <w:szCs w:val="20"/>
              </w:rPr>
            </w:pPr>
          </w:p>
        </w:tc>
      </w:tr>
      <w:tr w:rsidR="00000000">
        <w:trPr>
          <w:trHeight w:val="276"/>
        </w:trPr>
        <w:tc>
          <w:tcPr>
            <w:tcW w:w="1860" w:type="dxa"/>
            <w:tcBorders>
              <w:top w:val="nil"/>
              <w:left w:val="single" w:sz="8" w:space="0" w:color="auto"/>
              <w:bottom w:val="single" w:sz="8" w:space="0" w:color="auto"/>
              <w:right w:val="nil"/>
            </w:tcBorders>
            <w:noWrap/>
            <w:vAlign w:val="bottom"/>
          </w:tcPr>
          <w:p w:rsidR="00000000" w:rsidRDefault="004A63C4">
            <w:pPr>
              <w:rPr>
                <w:rFonts w:ascii="Arial" w:hAnsi="Arial" w:cs="Arial"/>
                <w:b/>
                <w:bCs/>
                <w:sz w:val="16"/>
                <w:szCs w:val="20"/>
              </w:rPr>
            </w:pPr>
            <w:r>
              <w:rPr>
                <w:rFonts w:ascii="Arial" w:hAnsi="Arial" w:cs="Arial"/>
                <w:b/>
                <w:bCs/>
                <w:sz w:val="16"/>
                <w:szCs w:val="20"/>
              </w:rPr>
              <w:t>Number of observations</w:t>
            </w:r>
          </w:p>
        </w:tc>
        <w:tc>
          <w:tcPr>
            <w:tcW w:w="1150" w:type="dxa"/>
            <w:tcBorders>
              <w:top w:val="nil"/>
              <w:left w:val="nil"/>
              <w:bottom w:val="single" w:sz="8" w:space="0" w:color="auto"/>
              <w:right w:val="nil"/>
            </w:tcBorders>
            <w:noWrap/>
            <w:vAlign w:val="bottom"/>
          </w:tcPr>
          <w:p w:rsidR="00000000" w:rsidRDefault="004A63C4">
            <w:pPr>
              <w:jc w:val="center"/>
              <w:rPr>
                <w:rFonts w:ascii="Arial" w:hAnsi="Arial" w:cs="Arial"/>
                <w:sz w:val="16"/>
                <w:szCs w:val="20"/>
              </w:rPr>
            </w:pPr>
            <w:r>
              <w:rPr>
                <w:rFonts w:ascii="Arial" w:hAnsi="Arial" w:cs="Arial"/>
                <w:sz w:val="16"/>
                <w:szCs w:val="20"/>
              </w:rPr>
              <w:t>263</w:t>
            </w:r>
          </w:p>
        </w:tc>
        <w:tc>
          <w:tcPr>
            <w:tcW w:w="1100" w:type="dxa"/>
            <w:tcBorders>
              <w:top w:val="nil"/>
              <w:left w:val="nil"/>
              <w:bottom w:val="single" w:sz="8" w:space="0" w:color="auto"/>
              <w:right w:val="nil"/>
            </w:tcBorders>
            <w:noWrap/>
            <w:vAlign w:val="bottom"/>
          </w:tcPr>
          <w:p w:rsidR="00000000" w:rsidRDefault="004A63C4">
            <w:pPr>
              <w:jc w:val="center"/>
              <w:rPr>
                <w:rFonts w:ascii="Arial" w:hAnsi="Arial" w:cs="Arial"/>
                <w:sz w:val="16"/>
                <w:szCs w:val="20"/>
              </w:rPr>
            </w:pPr>
            <w:r>
              <w:rPr>
                <w:rFonts w:ascii="Arial" w:hAnsi="Arial" w:cs="Arial"/>
                <w:sz w:val="16"/>
                <w:szCs w:val="20"/>
              </w:rPr>
              <w:t>263</w:t>
            </w:r>
          </w:p>
        </w:tc>
        <w:tc>
          <w:tcPr>
            <w:tcW w:w="1090" w:type="dxa"/>
            <w:tcBorders>
              <w:top w:val="nil"/>
              <w:left w:val="nil"/>
              <w:bottom w:val="single" w:sz="8" w:space="0" w:color="auto"/>
              <w:right w:val="nil"/>
            </w:tcBorders>
            <w:noWrap/>
            <w:vAlign w:val="bottom"/>
          </w:tcPr>
          <w:p w:rsidR="00000000" w:rsidRDefault="004A63C4">
            <w:pPr>
              <w:jc w:val="center"/>
              <w:rPr>
                <w:rFonts w:ascii="Arial" w:hAnsi="Arial" w:cs="Arial"/>
                <w:sz w:val="16"/>
                <w:szCs w:val="20"/>
              </w:rPr>
            </w:pPr>
            <w:r>
              <w:rPr>
                <w:rFonts w:ascii="Arial" w:hAnsi="Arial" w:cs="Arial"/>
                <w:sz w:val="16"/>
                <w:szCs w:val="20"/>
              </w:rPr>
              <w:t>263</w:t>
            </w:r>
          </w:p>
        </w:tc>
        <w:tc>
          <w:tcPr>
            <w:tcW w:w="1450" w:type="dxa"/>
            <w:tcBorders>
              <w:top w:val="nil"/>
              <w:left w:val="nil"/>
              <w:bottom w:val="single" w:sz="8" w:space="0" w:color="auto"/>
              <w:right w:val="nil"/>
            </w:tcBorders>
            <w:noWrap/>
            <w:vAlign w:val="bottom"/>
          </w:tcPr>
          <w:p w:rsidR="00000000" w:rsidRDefault="004A63C4">
            <w:pPr>
              <w:jc w:val="center"/>
              <w:rPr>
                <w:rFonts w:ascii="Arial" w:hAnsi="Arial" w:cs="Arial"/>
                <w:sz w:val="16"/>
                <w:szCs w:val="20"/>
              </w:rPr>
            </w:pPr>
            <w:r>
              <w:rPr>
                <w:rFonts w:ascii="Arial" w:hAnsi="Arial" w:cs="Arial"/>
                <w:sz w:val="16"/>
                <w:szCs w:val="20"/>
              </w:rPr>
              <w:t>263</w:t>
            </w:r>
          </w:p>
        </w:tc>
        <w:tc>
          <w:tcPr>
            <w:tcW w:w="1570" w:type="dxa"/>
            <w:tcBorders>
              <w:top w:val="nil"/>
              <w:left w:val="nil"/>
              <w:bottom w:val="single" w:sz="8" w:space="0" w:color="auto"/>
              <w:right w:val="single" w:sz="8" w:space="0" w:color="auto"/>
            </w:tcBorders>
            <w:noWrap/>
            <w:vAlign w:val="bottom"/>
          </w:tcPr>
          <w:p w:rsidR="00000000" w:rsidRDefault="004A63C4">
            <w:pPr>
              <w:jc w:val="center"/>
              <w:rPr>
                <w:rFonts w:ascii="Arial" w:hAnsi="Arial" w:cs="Arial"/>
                <w:sz w:val="16"/>
                <w:szCs w:val="20"/>
              </w:rPr>
            </w:pPr>
            <w:r>
              <w:rPr>
                <w:rFonts w:ascii="Arial" w:hAnsi="Arial" w:cs="Arial"/>
                <w:sz w:val="16"/>
                <w:szCs w:val="20"/>
              </w:rPr>
              <w:t>263</w:t>
            </w:r>
          </w:p>
        </w:tc>
      </w:tr>
    </w:tbl>
    <w:p w:rsidR="00000000" w:rsidRDefault="004A63C4">
      <w:pPr>
        <w:spacing w:after="240" w:line="360" w:lineRule="auto"/>
        <w:jc w:val="both"/>
        <w:rPr>
          <w:b/>
          <w:bCs/>
          <w:sz w:val="22"/>
        </w:rPr>
      </w:pPr>
    </w:p>
    <w:p w:rsidR="00000000" w:rsidRDefault="004A63C4">
      <w:pPr>
        <w:spacing w:after="240"/>
        <w:jc w:val="both"/>
        <w:rPr>
          <w:sz w:val="22"/>
        </w:rPr>
      </w:pPr>
      <w:r>
        <w:rPr>
          <w:b/>
          <w:bCs/>
          <w:sz w:val="22"/>
        </w:rPr>
        <w:t>Table 2.</w:t>
      </w:r>
      <w:r>
        <w:rPr>
          <w:sz w:val="22"/>
        </w:rPr>
        <w:t xml:space="preserve"> </w:t>
      </w:r>
      <w:r>
        <w:rPr>
          <w:i/>
          <w:iCs/>
          <w:sz w:val="22"/>
        </w:rPr>
        <w:t>Summary of all weather data collected by the AWS situated on a rocky outcrop south of Brown Glacier at ~550</w:t>
      </w:r>
      <w:r>
        <w:rPr>
          <w:i/>
          <w:iCs/>
          <w:sz w:val="22"/>
        </w:rPr>
        <w:t>m a.s.l., for the period 1</w:t>
      </w:r>
      <w:r>
        <w:rPr>
          <w:i/>
          <w:iCs/>
          <w:sz w:val="22"/>
          <w:vertAlign w:val="superscript"/>
        </w:rPr>
        <w:t>st</w:t>
      </w:r>
      <w:r>
        <w:rPr>
          <w:i/>
          <w:iCs/>
          <w:sz w:val="22"/>
        </w:rPr>
        <w:t xml:space="preserve"> November to 25</w:t>
      </w:r>
      <w:r>
        <w:rPr>
          <w:i/>
          <w:iCs/>
          <w:sz w:val="22"/>
          <w:vertAlign w:val="superscript"/>
        </w:rPr>
        <w:t>th</w:t>
      </w:r>
      <w:r>
        <w:rPr>
          <w:i/>
          <w:iCs/>
          <w:sz w:val="22"/>
        </w:rPr>
        <w:t xml:space="preserve"> November 2000 (the rock AWS).</w:t>
      </w:r>
    </w:p>
    <w:tbl>
      <w:tblPr>
        <w:tblW w:w="7120" w:type="dxa"/>
        <w:jc w:val="center"/>
        <w:tblLayout w:type="fixed"/>
        <w:tblCellMar>
          <w:left w:w="0" w:type="dxa"/>
          <w:right w:w="0" w:type="dxa"/>
        </w:tblCellMar>
        <w:tblLook w:val="0000" w:firstRow="0" w:lastRow="0" w:firstColumn="0" w:lastColumn="0" w:noHBand="0" w:noVBand="0"/>
      </w:tblPr>
      <w:tblGrid>
        <w:gridCol w:w="1860"/>
        <w:gridCol w:w="1150"/>
        <w:gridCol w:w="1090"/>
        <w:gridCol w:w="1450"/>
        <w:gridCol w:w="1570"/>
      </w:tblGrid>
      <w:tr w:rsidR="00000000">
        <w:trPr>
          <w:trHeight w:val="219"/>
          <w:jc w:val="center"/>
        </w:trPr>
        <w:tc>
          <w:tcPr>
            <w:tcW w:w="1860" w:type="dxa"/>
            <w:tcBorders>
              <w:top w:val="single" w:sz="8" w:space="0" w:color="auto"/>
              <w:left w:val="single" w:sz="8" w:space="0" w:color="auto"/>
              <w:bottom w:val="nil"/>
              <w:right w:val="nil"/>
            </w:tcBorders>
            <w:noWrap/>
            <w:vAlign w:val="bottom"/>
          </w:tcPr>
          <w:p w:rsidR="00000000" w:rsidRDefault="004A63C4">
            <w:pPr>
              <w:rPr>
                <w:rFonts w:ascii="Arial" w:hAnsi="Arial" w:cs="Arial"/>
                <w:b/>
                <w:bCs/>
                <w:sz w:val="20"/>
                <w:szCs w:val="20"/>
              </w:rPr>
            </w:pPr>
            <w:r>
              <w:rPr>
                <w:rFonts w:ascii="Arial" w:hAnsi="Arial" w:cs="Arial"/>
                <w:b/>
                <w:bCs/>
                <w:sz w:val="20"/>
                <w:szCs w:val="20"/>
              </w:rPr>
              <w:t>All Data</w:t>
            </w:r>
          </w:p>
        </w:tc>
        <w:tc>
          <w:tcPr>
            <w:tcW w:w="1150" w:type="dxa"/>
            <w:tcBorders>
              <w:top w:val="single" w:sz="8" w:space="0" w:color="auto"/>
              <w:left w:val="nil"/>
              <w:bottom w:val="nil"/>
              <w:right w:val="nil"/>
            </w:tcBorders>
            <w:noWrap/>
            <w:vAlign w:val="bottom"/>
          </w:tcPr>
          <w:p w:rsidR="00000000" w:rsidRDefault="004A63C4">
            <w:pPr>
              <w:jc w:val="center"/>
              <w:rPr>
                <w:rFonts w:ascii="Arial" w:hAnsi="Arial" w:cs="Arial"/>
                <w:i/>
                <w:iCs/>
                <w:sz w:val="16"/>
                <w:szCs w:val="20"/>
              </w:rPr>
            </w:pPr>
            <w:r>
              <w:rPr>
                <w:rFonts w:ascii="Arial" w:hAnsi="Arial" w:cs="Arial"/>
                <w:i/>
                <w:iCs/>
                <w:sz w:val="16"/>
                <w:szCs w:val="20"/>
              </w:rPr>
              <w:t>4m Wind speed (m s</w:t>
            </w:r>
            <w:r>
              <w:rPr>
                <w:rFonts w:ascii="Arial" w:hAnsi="Arial" w:cs="Arial"/>
                <w:i/>
                <w:iCs/>
                <w:sz w:val="16"/>
                <w:szCs w:val="20"/>
                <w:vertAlign w:val="superscript"/>
              </w:rPr>
              <w:t>-1</w:t>
            </w:r>
            <w:r>
              <w:rPr>
                <w:rFonts w:ascii="Arial" w:hAnsi="Arial" w:cs="Arial"/>
                <w:i/>
                <w:iCs/>
                <w:sz w:val="16"/>
                <w:szCs w:val="20"/>
              </w:rPr>
              <w:t>)</w:t>
            </w:r>
          </w:p>
        </w:tc>
        <w:tc>
          <w:tcPr>
            <w:tcW w:w="1090" w:type="dxa"/>
            <w:tcBorders>
              <w:top w:val="single" w:sz="8" w:space="0" w:color="auto"/>
              <w:left w:val="nil"/>
              <w:bottom w:val="nil"/>
              <w:right w:val="nil"/>
            </w:tcBorders>
            <w:noWrap/>
            <w:vAlign w:val="bottom"/>
          </w:tcPr>
          <w:p w:rsidR="00000000" w:rsidRDefault="004A63C4">
            <w:pPr>
              <w:jc w:val="center"/>
              <w:rPr>
                <w:rFonts w:ascii="Arial" w:hAnsi="Arial" w:cs="Arial"/>
                <w:i/>
                <w:iCs/>
                <w:sz w:val="16"/>
                <w:szCs w:val="20"/>
              </w:rPr>
            </w:pPr>
            <w:r>
              <w:rPr>
                <w:rFonts w:ascii="Arial" w:hAnsi="Arial" w:cs="Arial"/>
                <w:i/>
                <w:iCs/>
                <w:sz w:val="16"/>
                <w:szCs w:val="20"/>
              </w:rPr>
              <w:t>Humidity</w:t>
            </w:r>
          </w:p>
          <w:p w:rsidR="00000000" w:rsidRDefault="004A63C4">
            <w:pPr>
              <w:jc w:val="center"/>
              <w:rPr>
                <w:rFonts w:ascii="Arial" w:hAnsi="Arial" w:cs="Arial"/>
                <w:i/>
                <w:iCs/>
                <w:sz w:val="16"/>
                <w:szCs w:val="20"/>
              </w:rPr>
            </w:pPr>
            <w:r>
              <w:rPr>
                <w:rFonts w:ascii="Arial" w:hAnsi="Arial" w:cs="Arial"/>
                <w:i/>
                <w:iCs/>
                <w:sz w:val="16"/>
                <w:szCs w:val="20"/>
              </w:rPr>
              <w:t>(%)</w:t>
            </w:r>
          </w:p>
        </w:tc>
        <w:tc>
          <w:tcPr>
            <w:tcW w:w="1450" w:type="dxa"/>
            <w:tcBorders>
              <w:top w:val="single" w:sz="8" w:space="0" w:color="auto"/>
              <w:left w:val="nil"/>
              <w:bottom w:val="nil"/>
              <w:right w:val="nil"/>
            </w:tcBorders>
            <w:noWrap/>
            <w:vAlign w:val="bottom"/>
          </w:tcPr>
          <w:p w:rsidR="00000000" w:rsidRDefault="004A63C4">
            <w:pPr>
              <w:jc w:val="center"/>
              <w:rPr>
                <w:rFonts w:ascii="Arial" w:hAnsi="Arial" w:cs="Arial"/>
                <w:i/>
                <w:iCs/>
                <w:sz w:val="16"/>
                <w:szCs w:val="20"/>
              </w:rPr>
            </w:pPr>
            <w:r>
              <w:rPr>
                <w:rFonts w:ascii="Arial" w:hAnsi="Arial" w:cs="Arial"/>
                <w:i/>
                <w:iCs/>
                <w:sz w:val="16"/>
                <w:szCs w:val="20"/>
              </w:rPr>
              <w:t>2m Temperature</w:t>
            </w:r>
          </w:p>
          <w:p w:rsidR="00000000" w:rsidRDefault="004A63C4">
            <w:pPr>
              <w:jc w:val="center"/>
              <w:rPr>
                <w:rFonts w:ascii="Arial" w:hAnsi="Arial" w:cs="Arial"/>
                <w:i/>
                <w:iCs/>
                <w:sz w:val="16"/>
                <w:szCs w:val="20"/>
              </w:rPr>
            </w:pPr>
            <w:r>
              <w:rPr>
                <w:rFonts w:ascii="Arial" w:hAnsi="Arial" w:cs="Arial"/>
                <w:i/>
                <w:iCs/>
                <w:sz w:val="16"/>
                <w:szCs w:val="20"/>
              </w:rPr>
              <w:t>(°C)</w:t>
            </w:r>
          </w:p>
        </w:tc>
        <w:tc>
          <w:tcPr>
            <w:tcW w:w="1570" w:type="dxa"/>
            <w:tcBorders>
              <w:top w:val="single" w:sz="8" w:space="0" w:color="auto"/>
              <w:left w:val="nil"/>
              <w:bottom w:val="nil"/>
              <w:right w:val="single" w:sz="8" w:space="0" w:color="auto"/>
            </w:tcBorders>
            <w:noWrap/>
            <w:vAlign w:val="bottom"/>
          </w:tcPr>
          <w:p w:rsidR="00000000" w:rsidRDefault="004A63C4">
            <w:pPr>
              <w:jc w:val="center"/>
              <w:rPr>
                <w:rFonts w:ascii="Arial" w:hAnsi="Arial" w:cs="Arial"/>
                <w:i/>
                <w:iCs/>
                <w:sz w:val="16"/>
                <w:szCs w:val="20"/>
              </w:rPr>
            </w:pPr>
            <w:r>
              <w:rPr>
                <w:rFonts w:ascii="Arial" w:hAnsi="Arial" w:cs="Arial"/>
                <w:i/>
                <w:iCs/>
                <w:sz w:val="16"/>
                <w:szCs w:val="20"/>
              </w:rPr>
              <w:t>Wind direction</w:t>
            </w:r>
          </w:p>
          <w:p w:rsidR="00000000" w:rsidRDefault="004A63C4">
            <w:pPr>
              <w:jc w:val="center"/>
              <w:rPr>
                <w:rFonts w:ascii="Arial" w:hAnsi="Arial" w:cs="Arial"/>
                <w:i/>
                <w:iCs/>
                <w:sz w:val="16"/>
                <w:szCs w:val="20"/>
              </w:rPr>
            </w:pPr>
            <w:r>
              <w:rPr>
                <w:rFonts w:ascii="Arial" w:hAnsi="Arial" w:cs="Arial"/>
                <w:i/>
                <w:iCs/>
                <w:sz w:val="16"/>
                <w:szCs w:val="20"/>
              </w:rPr>
              <w:t>(degrees true)</w:t>
            </w:r>
          </w:p>
        </w:tc>
      </w:tr>
      <w:tr w:rsidR="00000000">
        <w:trPr>
          <w:trHeight w:val="264"/>
          <w:jc w:val="center"/>
        </w:trPr>
        <w:tc>
          <w:tcPr>
            <w:tcW w:w="1860" w:type="dxa"/>
            <w:tcBorders>
              <w:top w:val="single" w:sz="8" w:space="0" w:color="auto"/>
              <w:left w:val="single" w:sz="8" w:space="0" w:color="auto"/>
              <w:bottom w:val="nil"/>
              <w:right w:val="nil"/>
            </w:tcBorders>
            <w:noWrap/>
            <w:vAlign w:val="bottom"/>
          </w:tcPr>
          <w:p w:rsidR="00000000" w:rsidRDefault="004A63C4">
            <w:pPr>
              <w:pStyle w:val="Heading4"/>
            </w:pPr>
            <w:r>
              <w:t>Average</w:t>
            </w:r>
          </w:p>
        </w:tc>
        <w:tc>
          <w:tcPr>
            <w:tcW w:w="1150" w:type="dxa"/>
            <w:tcBorders>
              <w:top w:val="single" w:sz="8" w:space="0" w:color="auto"/>
              <w:left w:val="nil"/>
              <w:bottom w:val="nil"/>
              <w:right w:val="nil"/>
            </w:tcBorders>
            <w:noWrap/>
            <w:vAlign w:val="bottom"/>
          </w:tcPr>
          <w:p w:rsidR="00000000" w:rsidRDefault="004A63C4">
            <w:pPr>
              <w:jc w:val="center"/>
              <w:rPr>
                <w:rFonts w:ascii="Arial" w:hAnsi="Arial" w:cs="Arial"/>
                <w:sz w:val="20"/>
                <w:szCs w:val="20"/>
              </w:rPr>
            </w:pPr>
            <w:r>
              <w:rPr>
                <w:rFonts w:ascii="Arial" w:hAnsi="Arial" w:cs="Arial"/>
                <w:sz w:val="20"/>
                <w:szCs w:val="20"/>
              </w:rPr>
              <w:t>6.66</w:t>
            </w:r>
          </w:p>
        </w:tc>
        <w:tc>
          <w:tcPr>
            <w:tcW w:w="1090" w:type="dxa"/>
            <w:tcBorders>
              <w:top w:val="single" w:sz="8" w:space="0" w:color="auto"/>
              <w:left w:val="nil"/>
              <w:bottom w:val="nil"/>
              <w:right w:val="nil"/>
            </w:tcBorders>
            <w:noWrap/>
            <w:vAlign w:val="bottom"/>
          </w:tcPr>
          <w:p w:rsidR="00000000" w:rsidRDefault="004A63C4">
            <w:pPr>
              <w:jc w:val="center"/>
              <w:rPr>
                <w:rFonts w:ascii="Arial" w:hAnsi="Arial" w:cs="Arial"/>
                <w:sz w:val="20"/>
                <w:szCs w:val="20"/>
              </w:rPr>
            </w:pPr>
            <w:r>
              <w:rPr>
                <w:rFonts w:ascii="Arial" w:hAnsi="Arial" w:cs="Arial"/>
                <w:sz w:val="20"/>
                <w:szCs w:val="20"/>
              </w:rPr>
              <w:t>82.62</w:t>
            </w:r>
          </w:p>
        </w:tc>
        <w:tc>
          <w:tcPr>
            <w:tcW w:w="1450" w:type="dxa"/>
            <w:tcBorders>
              <w:top w:val="single" w:sz="8" w:space="0" w:color="auto"/>
              <w:left w:val="nil"/>
              <w:bottom w:val="nil"/>
              <w:right w:val="nil"/>
            </w:tcBorders>
            <w:noWrap/>
            <w:vAlign w:val="bottom"/>
          </w:tcPr>
          <w:p w:rsidR="00000000" w:rsidRDefault="004A63C4">
            <w:pPr>
              <w:jc w:val="center"/>
              <w:rPr>
                <w:rFonts w:ascii="Arial" w:hAnsi="Arial" w:cs="Arial"/>
                <w:sz w:val="20"/>
                <w:szCs w:val="20"/>
              </w:rPr>
            </w:pPr>
            <w:r>
              <w:rPr>
                <w:rFonts w:ascii="Arial" w:hAnsi="Arial" w:cs="Arial"/>
                <w:sz w:val="20"/>
                <w:szCs w:val="20"/>
              </w:rPr>
              <w:t>-3.59</w:t>
            </w:r>
          </w:p>
        </w:tc>
        <w:tc>
          <w:tcPr>
            <w:tcW w:w="1570" w:type="dxa"/>
            <w:tcBorders>
              <w:top w:val="single" w:sz="8" w:space="0" w:color="auto"/>
              <w:left w:val="nil"/>
              <w:bottom w:val="nil"/>
              <w:right w:val="single" w:sz="8" w:space="0" w:color="auto"/>
            </w:tcBorders>
            <w:noWrap/>
            <w:vAlign w:val="bottom"/>
          </w:tcPr>
          <w:p w:rsidR="00000000" w:rsidRDefault="004A63C4">
            <w:pPr>
              <w:jc w:val="center"/>
              <w:rPr>
                <w:rFonts w:ascii="Arial" w:hAnsi="Arial" w:cs="Arial"/>
                <w:sz w:val="20"/>
                <w:szCs w:val="20"/>
              </w:rPr>
            </w:pPr>
            <w:r>
              <w:rPr>
                <w:rFonts w:ascii="Arial" w:hAnsi="Arial" w:cs="Arial"/>
                <w:sz w:val="20"/>
                <w:szCs w:val="20"/>
              </w:rPr>
              <w:t>224</w:t>
            </w:r>
          </w:p>
        </w:tc>
      </w:tr>
      <w:tr w:rsidR="00000000">
        <w:trPr>
          <w:trHeight w:val="264"/>
          <w:jc w:val="center"/>
        </w:trPr>
        <w:tc>
          <w:tcPr>
            <w:tcW w:w="1860" w:type="dxa"/>
            <w:tcBorders>
              <w:top w:val="nil"/>
              <w:left w:val="single" w:sz="8" w:space="0" w:color="auto"/>
              <w:bottom w:val="nil"/>
              <w:right w:val="nil"/>
            </w:tcBorders>
            <w:noWrap/>
            <w:vAlign w:val="bottom"/>
          </w:tcPr>
          <w:p w:rsidR="00000000" w:rsidRDefault="004A63C4">
            <w:pPr>
              <w:rPr>
                <w:rFonts w:ascii="Arial" w:hAnsi="Arial" w:cs="Arial"/>
                <w:b/>
                <w:bCs/>
                <w:sz w:val="16"/>
                <w:szCs w:val="20"/>
              </w:rPr>
            </w:pPr>
            <w:r>
              <w:rPr>
                <w:rFonts w:ascii="Arial" w:hAnsi="Arial" w:cs="Arial"/>
                <w:b/>
                <w:bCs/>
                <w:sz w:val="16"/>
                <w:szCs w:val="20"/>
              </w:rPr>
              <w:t>Standard deviation</w:t>
            </w:r>
          </w:p>
        </w:tc>
        <w:tc>
          <w:tcPr>
            <w:tcW w:w="1150" w:type="dxa"/>
            <w:tcBorders>
              <w:top w:val="nil"/>
              <w:left w:val="nil"/>
              <w:bottom w:val="nil"/>
              <w:right w:val="nil"/>
            </w:tcBorders>
            <w:noWrap/>
            <w:vAlign w:val="bottom"/>
          </w:tcPr>
          <w:p w:rsidR="00000000" w:rsidRDefault="004A63C4">
            <w:pPr>
              <w:jc w:val="center"/>
              <w:rPr>
                <w:rFonts w:ascii="Arial" w:hAnsi="Arial" w:cs="Arial"/>
                <w:sz w:val="20"/>
                <w:szCs w:val="20"/>
              </w:rPr>
            </w:pPr>
            <w:r>
              <w:rPr>
                <w:rFonts w:ascii="Arial" w:hAnsi="Arial" w:cs="Arial"/>
                <w:sz w:val="20"/>
                <w:szCs w:val="20"/>
              </w:rPr>
              <w:t>4.93</w:t>
            </w:r>
          </w:p>
        </w:tc>
        <w:tc>
          <w:tcPr>
            <w:tcW w:w="1090" w:type="dxa"/>
            <w:tcBorders>
              <w:top w:val="nil"/>
              <w:left w:val="nil"/>
              <w:bottom w:val="nil"/>
              <w:right w:val="nil"/>
            </w:tcBorders>
            <w:noWrap/>
            <w:vAlign w:val="bottom"/>
          </w:tcPr>
          <w:p w:rsidR="00000000" w:rsidRDefault="004A63C4">
            <w:pPr>
              <w:jc w:val="center"/>
              <w:rPr>
                <w:rFonts w:ascii="Arial" w:hAnsi="Arial" w:cs="Arial"/>
                <w:sz w:val="20"/>
                <w:szCs w:val="20"/>
              </w:rPr>
            </w:pPr>
            <w:r>
              <w:rPr>
                <w:rFonts w:ascii="Arial" w:hAnsi="Arial" w:cs="Arial"/>
                <w:sz w:val="20"/>
                <w:szCs w:val="20"/>
              </w:rPr>
              <w:t>13.14</w:t>
            </w:r>
          </w:p>
        </w:tc>
        <w:tc>
          <w:tcPr>
            <w:tcW w:w="1450" w:type="dxa"/>
            <w:tcBorders>
              <w:top w:val="nil"/>
              <w:left w:val="nil"/>
              <w:bottom w:val="nil"/>
              <w:right w:val="nil"/>
            </w:tcBorders>
            <w:noWrap/>
            <w:vAlign w:val="bottom"/>
          </w:tcPr>
          <w:p w:rsidR="00000000" w:rsidRDefault="004A63C4">
            <w:pPr>
              <w:jc w:val="center"/>
              <w:rPr>
                <w:rFonts w:ascii="Arial" w:hAnsi="Arial" w:cs="Arial"/>
                <w:sz w:val="20"/>
                <w:szCs w:val="20"/>
              </w:rPr>
            </w:pPr>
            <w:r>
              <w:rPr>
                <w:rFonts w:ascii="Arial" w:hAnsi="Arial" w:cs="Arial"/>
                <w:sz w:val="20"/>
                <w:szCs w:val="20"/>
              </w:rPr>
              <w:t>2.45</w:t>
            </w:r>
          </w:p>
        </w:tc>
        <w:tc>
          <w:tcPr>
            <w:tcW w:w="1570" w:type="dxa"/>
            <w:tcBorders>
              <w:top w:val="nil"/>
              <w:left w:val="nil"/>
              <w:bottom w:val="nil"/>
              <w:right w:val="single" w:sz="8" w:space="0" w:color="auto"/>
            </w:tcBorders>
            <w:noWrap/>
            <w:vAlign w:val="bottom"/>
          </w:tcPr>
          <w:p w:rsidR="00000000" w:rsidRDefault="004A63C4">
            <w:pPr>
              <w:jc w:val="center"/>
              <w:rPr>
                <w:rFonts w:ascii="Arial" w:hAnsi="Arial" w:cs="Arial"/>
                <w:sz w:val="20"/>
                <w:szCs w:val="20"/>
              </w:rPr>
            </w:pPr>
            <w:r>
              <w:rPr>
                <w:rFonts w:ascii="Arial" w:hAnsi="Arial" w:cs="Arial"/>
                <w:sz w:val="20"/>
                <w:szCs w:val="20"/>
              </w:rPr>
              <w:t>84</w:t>
            </w:r>
          </w:p>
        </w:tc>
      </w:tr>
      <w:tr w:rsidR="00000000">
        <w:trPr>
          <w:trHeight w:val="264"/>
          <w:jc w:val="center"/>
        </w:trPr>
        <w:tc>
          <w:tcPr>
            <w:tcW w:w="1860" w:type="dxa"/>
            <w:tcBorders>
              <w:top w:val="nil"/>
              <w:left w:val="single" w:sz="8" w:space="0" w:color="auto"/>
              <w:bottom w:val="nil"/>
              <w:right w:val="nil"/>
            </w:tcBorders>
            <w:noWrap/>
            <w:vAlign w:val="bottom"/>
          </w:tcPr>
          <w:p w:rsidR="00000000" w:rsidRDefault="004A63C4">
            <w:pPr>
              <w:rPr>
                <w:rFonts w:ascii="Arial" w:hAnsi="Arial" w:cs="Arial"/>
                <w:b/>
                <w:bCs/>
                <w:sz w:val="16"/>
                <w:szCs w:val="20"/>
              </w:rPr>
            </w:pPr>
            <w:r>
              <w:rPr>
                <w:rFonts w:ascii="Arial" w:hAnsi="Arial" w:cs="Arial"/>
                <w:b/>
                <w:bCs/>
                <w:sz w:val="16"/>
                <w:szCs w:val="20"/>
              </w:rPr>
              <w:t>Maximum</w:t>
            </w:r>
          </w:p>
        </w:tc>
        <w:tc>
          <w:tcPr>
            <w:tcW w:w="1150" w:type="dxa"/>
            <w:tcBorders>
              <w:top w:val="nil"/>
              <w:left w:val="nil"/>
              <w:bottom w:val="nil"/>
              <w:right w:val="nil"/>
            </w:tcBorders>
            <w:noWrap/>
            <w:vAlign w:val="bottom"/>
          </w:tcPr>
          <w:p w:rsidR="00000000" w:rsidRDefault="004A63C4">
            <w:pPr>
              <w:jc w:val="center"/>
              <w:rPr>
                <w:rFonts w:ascii="Arial" w:hAnsi="Arial" w:cs="Arial"/>
                <w:sz w:val="20"/>
                <w:szCs w:val="20"/>
              </w:rPr>
            </w:pPr>
            <w:r>
              <w:rPr>
                <w:rFonts w:ascii="Arial" w:hAnsi="Arial" w:cs="Arial"/>
                <w:sz w:val="20"/>
                <w:szCs w:val="20"/>
              </w:rPr>
              <w:t>25.00</w:t>
            </w:r>
          </w:p>
        </w:tc>
        <w:tc>
          <w:tcPr>
            <w:tcW w:w="1090" w:type="dxa"/>
            <w:tcBorders>
              <w:top w:val="nil"/>
              <w:left w:val="nil"/>
              <w:bottom w:val="nil"/>
              <w:right w:val="nil"/>
            </w:tcBorders>
            <w:noWrap/>
            <w:vAlign w:val="bottom"/>
          </w:tcPr>
          <w:p w:rsidR="00000000" w:rsidRDefault="004A63C4">
            <w:pPr>
              <w:jc w:val="center"/>
              <w:rPr>
                <w:rFonts w:ascii="Arial" w:hAnsi="Arial" w:cs="Arial"/>
                <w:sz w:val="20"/>
                <w:szCs w:val="20"/>
              </w:rPr>
            </w:pPr>
            <w:r>
              <w:rPr>
                <w:rFonts w:ascii="Arial" w:hAnsi="Arial" w:cs="Arial"/>
                <w:sz w:val="20"/>
                <w:szCs w:val="20"/>
              </w:rPr>
              <w:t>10</w:t>
            </w:r>
            <w:r>
              <w:rPr>
                <w:rFonts w:ascii="Arial" w:hAnsi="Arial" w:cs="Arial"/>
                <w:sz w:val="20"/>
                <w:szCs w:val="20"/>
              </w:rPr>
              <w:t>0.00</w:t>
            </w:r>
          </w:p>
        </w:tc>
        <w:tc>
          <w:tcPr>
            <w:tcW w:w="1450" w:type="dxa"/>
            <w:tcBorders>
              <w:top w:val="nil"/>
              <w:left w:val="nil"/>
              <w:bottom w:val="nil"/>
              <w:right w:val="nil"/>
            </w:tcBorders>
            <w:noWrap/>
            <w:vAlign w:val="bottom"/>
          </w:tcPr>
          <w:p w:rsidR="00000000" w:rsidRDefault="004A63C4">
            <w:pPr>
              <w:jc w:val="center"/>
              <w:rPr>
                <w:rFonts w:ascii="Arial" w:hAnsi="Arial" w:cs="Arial"/>
                <w:sz w:val="20"/>
                <w:szCs w:val="20"/>
              </w:rPr>
            </w:pPr>
            <w:r>
              <w:rPr>
                <w:rFonts w:ascii="Arial" w:hAnsi="Arial" w:cs="Arial"/>
                <w:sz w:val="20"/>
                <w:szCs w:val="20"/>
              </w:rPr>
              <w:t>13.52</w:t>
            </w:r>
          </w:p>
        </w:tc>
        <w:tc>
          <w:tcPr>
            <w:tcW w:w="1570" w:type="dxa"/>
            <w:tcBorders>
              <w:top w:val="nil"/>
              <w:left w:val="nil"/>
              <w:bottom w:val="nil"/>
              <w:right w:val="single" w:sz="8" w:space="0" w:color="auto"/>
            </w:tcBorders>
            <w:noWrap/>
            <w:vAlign w:val="bottom"/>
          </w:tcPr>
          <w:p w:rsidR="00000000" w:rsidRDefault="004A63C4">
            <w:pPr>
              <w:jc w:val="center"/>
              <w:rPr>
                <w:rFonts w:ascii="Arial" w:hAnsi="Arial" w:cs="Arial"/>
                <w:sz w:val="20"/>
                <w:szCs w:val="20"/>
              </w:rPr>
            </w:pPr>
          </w:p>
        </w:tc>
      </w:tr>
      <w:tr w:rsidR="00000000">
        <w:trPr>
          <w:trHeight w:val="264"/>
          <w:jc w:val="center"/>
        </w:trPr>
        <w:tc>
          <w:tcPr>
            <w:tcW w:w="1860" w:type="dxa"/>
            <w:tcBorders>
              <w:top w:val="nil"/>
              <w:left w:val="single" w:sz="8" w:space="0" w:color="auto"/>
              <w:bottom w:val="nil"/>
              <w:right w:val="nil"/>
            </w:tcBorders>
            <w:noWrap/>
            <w:vAlign w:val="bottom"/>
          </w:tcPr>
          <w:p w:rsidR="00000000" w:rsidRDefault="004A63C4">
            <w:pPr>
              <w:rPr>
                <w:rFonts w:ascii="Arial" w:hAnsi="Arial" w:cs="Arial"/>
                <w:b/>
                <w:bCs/>
                <w:sz w:val="16"/>
                <w:szCs w:val="20"/>
              </w:rPr>
            </w:pPr>
            <w:r>
              <w:rPr>
                <w:rFonts w:ascii="Arial" w:hAnsi="Arial" w:cs="Arial"/>
                <w:b/>
                <w:bCs/>
                <w:sz w:val="16"/>
                <w:szCs w:val="20"/>
              </w:rPr>
              <w:t>Minimum</w:t>
            </w:r>
          </w:p>
        </w:tc>
        <w:tc>
          <w:tcPr>
            <w:tcW w:w="1150" w:type="dxa"/>
            <w:tcBorders>
              <w:top w:val="nil"/>
              <w:left w:val="nil"/>
              <w:bottom w:val="nil"/>
              <w:right w:val="nil"/>
            </w:tcBorders>
            <w:noWrap/>
            <w:vAlign w:val="bottom"/>
          </w:tcPr>
          <w:p w:rsidR="00000000" w:rsidRDefault="004A63C4">
            <w:pPr>
              <w:jc w:val="center"/>
              <w:rPr>
                <w:rFonts w:ascii="Arial" w:hAnsi="Arial" w:cs="Arial"/>
                <w:sz w:val="20"/>
                <w:szCs w:val="20"/>
              </w:rPr>
            </w:pPr>
            <w:r>
              <w:rPr>
                <w:rFonts w:ascii="Arial" w:hAnsi="Arial" w:cs="Arial"/>
                <w:sz w:val="20"/>
                <w:szCs w:val="20"/>
              </w:rPr>
              <w:t>0.20</w:t>
            </w:r>
          </w:p>
        </w:tc>
        <w:tc>
          <w:tcPr>
            <w:tcW w:w="1090" w:type="dxa"/>
            <w:tcBorders>
              <w:top w:val="nil"/>
              <w:left w:val="nil"/>
              <w:bottom w:val="nil"/>
              <w:right w:val="nil"/>
            </w:tcBorders>
            <w:noWrap/>
            <w:vAlign w:val="bottom"/>
          </w:tcPr>
          <w:p w:rsidR="00000000" w:rsidRDefault="004A63C4">
            <w:pPr>
              <w:jc w:val="center"/>
              <w:rPr>
                <w:rFonts w:ascii="Arial" w:hAnsi="Arial" w:cs="Arial"/>
                <w:sz w:val="20"/>
                <w:szCs w:val="20"/>
              </w:rPr>
            </w:pPr>
            <w:r>
              <w:rPr>
                <w:rFonts w:ascii="Arial" w:hAnsi="Arial" w:cs="Arial"/>
                <w:sz w:val="20"/>
                <w:szCs w:val="20"/>
              </w:rPr>
              <w:t>28.00</w:t>
            </w:r>
          </w:p>
        </w:tc>
        <w:tc>
          <w:tcPr>
            <w:tcW w:w="1450" w:type="dxa"/>
            <w:tcBorders>
              <w:top w:val="nil"/>
              <w:left w:val="nil"/>
              <w:bottom w:val="nil"/>
              <w:right w:val="nil"/>
            </w:tcBorders>
            <w:noWrap/>
            <w:vAlign w:val="bottom"/>
          </w:tcPr>
          <w:p w:rsidR="00000000" w:rsidRDefault="004A63C4">
            <w:pPr>
              <w:jc w:val="center"/>
              <w:rPr>
                <w:rFonts w:ascii="Arial" w:hAnsi="Arial" w:cs="Arial"/>
                <w:sz w:val="20"/>
                <w:szCs w:val="20"/>
              </w:rPr>
            </w:pPr>
            <w:r>
              <w:rPr>
                <w:rFonts w:ascii="Arial" w:hAnsi="Arial" w:cs="Arial"/>
                <w:sz w:val="20"/>
                <w:szCs w:val="20"/>
              </w:rPr>
              <w:t>-9.84</w:t>
            </w:r>
          </w:p>
        </w:tc>
        <w:tc>
          <w:tcPr>
            <w:tcW w:w="1570" w:type="dxa"/>
            <w:tcBorders>
              <w:top w:val="nil"/>
              <w:left w:val="nil"/>
              <w:bottom w:val="nil"/>
              <w:right w:val="single" w:sz="8" w:space="0" w:color="auto"/>
            </w:tcBorders>
            <w:noWrap/>
            <w:vAlign w:val="bottom"/>
          </w:tcPr>
          <w:p w:rsidR="00000000" w:rsidRDefault="004A63C4">
            <w:pPr>
              <w:jc w:val="center"/>
              <w:rPr>
                <w:rFonts w:ascii="Arial" w:hAnsi="Arial" w:cs="Arial"/>
                <w:sz w:val="20"/>
                <w:szCs w:val="20"/>
              </w:rPr>
            </w:pPr>
          </w:p>
        </w:tc>
      </w:tr>
      <w:tr w:rsidR="00000000">
        <w:trPr>
          <w:trHeight w:val="276"/>
          <w:jc w:val="center"/>
        </w:trPr>
        <w:tc>
          <w:tcPr>
            <w:tcW w:w="1860" w:type="dxa"/>
            <w:tcBorders>
              <w:top w:val="nil"/>
              <w:left w:val="single" w:sz="8" w:space="0" w:color="auto"/>
              <w:bottom w:val="single" w:sz="8" w:space="0" w:color="auto"/>
              <w:right w:val="nil"/>
            </w:tcBorders>
            <w:noWrap/>
            <w:vAlign w:val="bottom"/>
          </w:tcPr>
          <w:p w:rsidR="00000000" w:rsidRDefault="004A63C4">
            <w:pPr>
              <w:rPr>
                <w:rFonts w:ascii="Arial" w:hAnsi="Arial" w:cs="Arial"/>
                <w:b/>
                <w:bCs/>
                <w:sz w:val="16"/>
                <w:szCs w:val="20"/>
              </w:rPr>
            </w:pPr>
            <w:r>
              <w:rPr>
                <w:rFonts w:ascii="Arial" w:hAnsi="Arial" w:cs="Arial"/>
                <w:b/>
                <w:bCs/>
                <w:sz w:val="16"/>
                <w:szCs w:val="20"/>
              </w:rPr>
              <w:t>Number of observations</w:t>
            </w:r>
          </w:p>
        </w:tc>
        <w:tc>
          <w:tcPr>
            <w:tcW w:w="1150" w:type="dxa"/>
            <w:tcBorders>
              <w:top w:val="nil"/>
              <w:left w:val="nil"/>
              <w:bottom w:val="single" w:sz="8" w:space="0" w:color="auto"/>
              <w:right w:val="nil"/>
            </w:tcBorders>
            <w:noWrap/>
            <w:vAlign w:val="bottom"/>
          </w:tcPr>
          <w:p w:rsidR="00000000" w:rsidRDefault="004A63C4">
            <w:pPr>
              <w:jc w:val="center"/>
              <w:rPr>
                <w:rFonts w:ascii="Arial" w:hAnsi="Arial" w:cs="Arial"/>
                <w:sz w:val="16"/>
                <w:szCs w:val="20"/>
              </w:rPr>
            </w:pPr>
            <w:r>
              <w:rPr>
                <w:rFonts w:ascii="Arial" w:hAnsi="Arial" w:cs="Arial"/>
                <w:sz w:val="16"/>
                <w:szCs w:val="20"/>
              </w:rPr>
              <w:t>254</w:t>
            </w:r>
          </w:p>
        </w:tc>
        <w:tc>
          <w:tcPr>
            <w:tcW w:w="1090" w:type="dxa"/>
            <w:tcBorders>
              <w:top w:val="nil"/>
              <w:left w:val="nil"/>
              <w:bottom w:val="single" w:sz="8" w:space="0" w:color="auto"/>
              <w:right w:val="nil"/>
            </w:tcBorders>
            <w:noWrap/>
            <w:vAlign w:val="bottom"/>
          </w:tcPr>
          <w:p w:rsidR="00000000" w:rsidRDefault="004A63C4">
            <w:pPr>
              <w:jc w:val="center"/>
              <w:rPr>
                <w:rFonts w:ascii="Arial" w:hAnsi="Arial" w:cs="Arial"/>
                <w:sz w:val="16"/>
                <w:szCs w:val="20"/>
              </w:rPr>
            </w:pPr>
            <w:r>
              <w:rPr>
                <w:rFonts w:ascii="Arial" w:hAnsi="Arial" w:cs="Arial"/>
                <w:sz w:val="16"/>
                <w:szCs w:val="20"/>
              </w:rPr>
              <w:t>263</w:t>
            </w:r>
          </w:p>
        </w:tc>
        <w:tc>
          <w:tcPr>
            <w:tcW w:w="1450" w:type="dxa"/>
            <w:tcBorders>
              <w:top w:val="nil"/>
              <w:left w:val="nil"/>
              <w:bottom w:val="single" w:sz="8" w:space="0" w:color="auto"/>
              <w:right w:val="nil"/>
            </w:tcBorders>
            <w:noWrap/>
            <w:vAlign w:val="bottom"/>
          </w:tcPr>
          <w:p w:rsidR="00000000" w:rsidRDefault="004A63C4">
            <w:pPr>
              <w:jc w:val="center"/>
              <w:rPr>
                <w:rFonts w:ascii="Arial" w:hAnsi="Arial" w:cs="Arial"/>
                <w:sz w:val="16"/>
                <w:szCs w:val="20"/>
              </w:rPr>
            </w:pPr>
            <w:r>
              <w:rPr>
                <w:rFonts w:ascii="Arial" w:hAnsi="Arial" w:cs="Arial"/>
                <w:sz w:val="16"/>
                <w:szCs w:val="20"/>
              </w:rPr>
              <w:t>263</w:t>
            </w:r>
          </w:p>
        </w:tc>
        <w:tc>
          <w:tcPr>
            <w:tcW w:w="1570" w:type="dxa"/>
            <w:tcBorders>
              <w:top w:val="nil"/>
              <w:left w:val="nil"/>
              <w:bottom w:val="single" w:sz="8" w:space="0" w:color="auto"/>
              <w:right w:val="single" w:sz="8" w:space="0" w:color="auto"/>
            </w:tcBorders>
            <w:noWrap/>
            <w:vAlign w:val="bottom"/>
          </w:tcPr>
          <w:p w:rsidR="00000000" w:rsidRDefault="004A63C4">
            <w:pPr>
              <w:jc w:val="center"/>
              <w:rPr>
                <w:rFonts w:ascii="Arial" w:hAnsi="Arial" w:cs="Arial"/>
                <w:sz w:val="16"/>
                <w:szCs w:val="20"/>
              </w:rPr>
            </w:pPr>
            <w:r>
              <w:rPr>
                <w:rFonts w:ascii="Arial" w:hAnsi="Arial" w:cs="Arial"/>
                <w:sz w:val="16"/>
                <w:szCs w:val="20"/>
              </w:rPr>
              <w:t>201</w:t>
            </w:r>
          </w:p>
        </w:tc>
      </w:tr>
    </w:tbl>
    <w:p w:rsidR="00000000" w:rsidRDefault="004A63C4">
      <w:pPr>
        <w:pStyle w:val="BodyText"/>
      </w:pPr>
    </w:p>
    <w:p w:rsidR="00000000" w:rsidRDefault="004A63C4">
      <w:pPr>
        <w:spacing w:after="240" w:line="360" w:lineRule="auto"/>
        <w:jc w:val="both"/>
        <w:rPr>
          <w:sz w:val="22"/>
        </w:rPr>
      </w:pPr>
      <w:r>
        <w:rPr>
          <w:sz w:val="22"/>
        </w:rPr>
        <w:t>A comparison of wind direction data (Fig. 15a) shows that winds were predominantly northwesterly or southerly at the rock AWS, and very dominantly northwesterly at the glacier</w:t>
      </w:r>
      <w:r>
        <w:rPr>
          <w:sz w:val="22"/>
        </w:rPr>
        <w:t xml:space="preserve"> AWS. The differences in average daily wind direction (Fig. 15b) shows that winds on the glacier trend from a direction that is nearly always from “the right” of the wind direction at the rock AWS. These differences are attributed to local differences in t</w:t>
      </w:r>
      <w:r>
        <w:rPr>
          <w:sz w:val="22"/>
        </w:rPr>
        <w:t>opography, specifically the blocking effect of the mountain itself, and channeling of winds down the glacial valley.</w:t>
      </w:r>
    </w:p>
    <w:p w:rsidR="00000000" w:rsidRDefault="004A63C4">
      <w:pPr>
        <w:pStyle w:val="Heading6"/>
      </w:pPr>
      <w:r>
        <w:t>DISCUSSION AND CONCLUSION</w:t>
      </w:r>
    </w:p>
    <w:p w:rsidR="00000000" w:rsidRDefault="004A63C4">
      <w:pPr>
        <w:pStyle w:val="Heading6"/>
      </w:pPr>
      <w:r>
        <w:t>Elevation of the equilibrium line</w:t>
      </w:r>
    </w:p>
    <w:p w:rsidR="00000000" w:rsidRDefault="004A63C4">
      <w:pPr>
        <w:spacing w:after="240" w:line="360" w:lineRule="auto"/>
        <w:jc w:val="both"/>
        <w:rPr>
          <w:sz w:val="22"/>
        </w:rPr>
      </w:pPr>
      <w:r>
        <w:rPr>
          <w:sz w:val="22"/>
        </w:rPr>
        <w:t>It is a somewhat unique problem that we do not have a clear idea about the loca</w:t>
      </w:r>
      <w:r>
        <w:rPr>
          <w:sz w:val="22"/>
        </w:rPr>
        <w:t>tion of the equilibrium line on Brown Glacier. This is mainly due to the difficulty of observing a late summer snow line. On Heard Island it can snow at any elevation at any time of the year. The late summer snowline is therefore difficult to define and wo</w:t>
      </w:r>
      <w:r>
        <w:rPr>
          <w:sz w:val="22"/>
        </w:rPr>
        <w:t>uld require almost continuous observations in late summer. Satellite pictures are not of great help due to the almost constant cloud cover, and the cloud penetrating SAR sensors have difficulties separating a wet ice surface from wet snow cover.</w:t>
      </w:r>
    </w:p>
    <w:p w:rsidR="00000000" w:rsidRDefault="004A63C4">
      <w:pPr>
        <w:spacing w:after="240" w:line="360" w:lineRule="auto"/>
        <w:jc w:val="both"/>
        <w:rPr>
          <w:sz w:val="22"/>
        </w:rPr>
      </w:pPr>
      <w:r>
        <w:rPr>
          <w:sz w:val="22"/>
        </w:rPr>
        <w:t>We can get</w:t>
      </w:r>
      <w:r>
        <w:rPr>
          <w:sz w:val="22"/>
        </w:rPr>
        <w:t xml:space="preserve"> an idea about the equilibrium line altitude (ELA) by assuming that the ice flux measured at BG35 is sufficiently close to the balance flux. We can further assume a linear mass balance gradient, and a balance of 6.6 m.a</w:t>
      </w:r>
      <w:r>
        <w:rPr>
          <w:vertAlign w:val="superscript"/>
        </w:rPr>
        <w:t>-1</w:t>
      </w:r>
      <w:r>
        <w:rPr>
          <w:sz w:val="22"/>
        </w:rPr>
        <w:t xml:space="preserve"> at 1050 m, as measured in a crevas</w:t>
      </w:r>
      <w:r>
        <w:rPr>
          <w:sz w:val="22"/>
        </w:rPr>
        <w:t>se (see above). This allows us to calculate a mass balance gradient of 0.017 a</w:t>
      </w:r>
      <w:r>
        <w:rPr>
          <w:vertAlign w:val="superscript"/>
        </w:rPr>
        <w:t>-1</w:t>
      </w:r>
      <w:r>
        <w:rPr>
          <w:sz w:val="22"/>
        </w:rPr>
        <w:t xml:space="preserve"> and an ELA of 660 m. The mass balance gradient is high, as expected in maritime climates.</w:t>
      </w:r>
    </w:p>
    <w:p w:rsidR="00000000" w:rsidRDefault="004A63C4">
      <w:pPr>
        <w:spacing w:after="240" w:line="360" w:lineRule="auto"/>
        <w:jc w:val="both"/>
        <w:rPr>
          <w:sz w:val="22"/>
        </w:rPr>
      </w:pPr>
      <w:r>
        <w:rPr>
          <w:sz w:val="22"/>
        </w:rPr>
        <w:t xml:space="preserve">Using this mass balance gradient and ELA we estimate the average ablation below BG35 </w:t>
      </w:r>
      <w:r>
        <w:rPr>
          <w:sz w:val="22"/>
        </w:rPr>
        <w:t>as 6.9 m.a</w:t>
      </w:r>
      <w:r>
        <w:rPr>
          <w:vertAlign w:val="superscript"/>
        </w:rPr>
        <w:t>-1</w:t>
      </w:r>
      <w:r>
        <w:rPr>
          <w:sz w:val="22"/>
        </w:rPr>
        <w:t>. An average of only 1.9 m.a</w:t>
      </w:r>
      <w:r>
        <w:rPr>
          <w:vertAlign w:val="superscript"/>
        </w:rPr>
        <w:t>-1</w:t>
      </w:r>
      <w:r>
        <w:rPr>
          <w:sz w:val="22"/>
        </w:rPr>
        <w:t xml:space="preserve"> of ablation is required to balance the flux through the cross section at BG35. This is a strong indication of a further expected retreat of Brown Glacier.</w:t>
      </w:r>
    </w:p>
    <w:p w:rsidR="00000000" w:rsidRDefault="004A63C4">
      <w:pPr>
        <w:pStyle w:val="Heading6"/>
      </w:pPr>
      <w:r>
        <w:t>Volcanic heat</w:t>
      </w:r>
    </w:p>
    <w:p w:rsidR="00000000" w:rsidRDefault="004A63C4">
      <w:pPr>
        <w:spacing w:after="240" w:line="360" w:lineRule="auto"/>
        <w:jc w:val="both"/>
        <w:rPr>
          <w:sz w:val="22"/>
        </w:rPr>
      </w:pPr>
      <w:r>
        <w:rPr>
          <w:sz w:val="22"/>
        </w:rPr>
        <w:t>Big Ben is an active volcano that makes up m</w:t>
      </w:r>
      <w:r>
        <w:rPr>
          <w:sz w:val="22"/>
        </w:rPr>
        <w:t>ost of Heard Island. Naturally the question of an enhanced geothermal heat flux and its influence on mass balance should be raised. Significant melting at the base of the glacier introduces an additional term in the vertical velocity. Equation (2) needs to</w:t>
      </w:r>
      <w:r>
        <w:rPr>
          <w:sz w:val="22"/>
        </w:rPr>
        <w:t xml:space="preserve"> be corrected to</w:t>
      </w:r>
    </w:p>
    <w:p w:rsidR="00000000" w:rsidRDefault="004A63C4">
      <w:pPr>
        <w:spacing w:after="240" w:line="360" w:lineRule="auto"/>
        <w:ind w:left="720" w:firstLine="720"/>
        <w:jc w:val="both"/>
        <w:rPr>
          <w:sz w:val="22"/>
        </w:rPr>
      </w:pPr>
      <w:r>
        <w:rPr>
          <w:position w:val="-14"/>
          <w:sz w:val="22"/>
        </w:rPr>
        <w:object w:dxaOrig="2240" w:dyaOrig="420">
          <v:shape id="_x0000_i1033" type="#_x0000_t75" style="width:112.2pt;height:21pt" o:ole="">
            <v:imagedata r:id="rId19" o:title=""/>
          </v:shape>
          <o:OLEObject Type="Embed" ProgID="Equation.3" ShapeID="_x0000_i1033" DrawAspect="Content" ObjectID="_1669208316" r:id="rId20"/>
        </w:object>
      </w:r>
      <w:r>
        <w:rPr>
          <w:sz w:val="22"/>
        </w:rPr>
        <w:tab/>
      </w:r>
      <w:r>
        <w:rPr>
          <w:sz w:val="22"/>
        </w:rPr>
        <w:tab/>
      </w:r>
      <w:r>
        <w:rPr>
          <w:sz w:val="22"/>
        </w:rPr>
        <w:tab/>
      </w:r>
      <w:r>
        <w:rPr>
          <w:sz w:val="22"/>
        </w:rPr>
        <w:tab/>
      </w:r>
      <w:r>
        <w:rPr>
          <w:sz w:val="22"/>
        </w:rPr>
        <w:tab/>
      </w:r>
      <w:r>
        <w:rPr>
          <w:sz w:val="22"/>
        </w:rPr>
        <w:tab/>
        <w:t>(3)</w:t>
      </w:r>
    </w:p>
    <w:p w:rsidR="00000000" w:rsidRDefault="004A63C4">
      <w:pPr>
        <w:spacing w:after="240" w:line="360" w:lineRule="auto"/>
        <w:jc w:val="both"/>
        <w:rPr>
          <w:sz w:val="22"/>
        </w:rPr>
      </w:pPr>
      <w:r>
        <w:rPr>
          <w:sz w:val="22"/>
        </w:rPr>
        <w:t xml:space="preserve">where </w:t>
      </w:r>
      <w:r>
        <w:rPr>
          <w:position w:val="-6"/>
          <w:sz w:val="22"/>
        </w:rPr>
        <w:object w:dxaOrig="260" w:dyaOrig="279">
          <v:shape id="_x0000_i1034" type="#_x0000_t75" style="width:13.2pt;height:13.8pt" o:ole="">
            <v:imagedata r:id="rId21" o:title=""/>
          </v:shape>
          <o:OLEObject Type="Embed" ProgID="Equation.3" ShapeID="_x0000_i1034" DrawAspect="Content" ObjectID="_1669208317" r:id="rId22"/>
        </w:object>
      </w:r>
      <w:r>
        <w:rPr>
          <w:sz w:val="22"/>
        </w:rPr>
        <w:t>is the melt rate at the base of the glacier. This effect makes the emergence velocities more negative. In light of the fact that the emergence velocities are positive in the upp</w:t>
      </w:r>
      <w:r>
        <w:rPr>
          <w:sz w:val="22"/>
        </w:rPr>
        <w:t>er areas of the glacier (Fig. 9), we do not expect basal melting to play a major role in the mass balance of the glacier.</w:t>
      </w:r>
    </w:p>
    <w:p w:rsidR="00000000" w:rsidRDefault="004A63C4">
      <w:pPr>
        <w:spacing w:after="240" w:line="360" w:lineRule="auto"/>
        <w:jc w:val="both"/>
        <w:rPr>
          <w:sz w:val="22"/>
        </w:rPr>
      </w:pPr>
      <w:r>
        <w:rPr>
          <w:sz w:val="22"/>
        </w:rPr>
        <w:t>While we did not observe a change in glacier velocity while we were in the field, there is some evidence for seasonal variations of gl</w:t>
      </w:r>
      <w:r>
        <w:rPr>
          <w:sz w:val="22"/>
        </w:rPr>
        <w:t>acier velocities on Heard Island (Lambeth, 1951). This bears on the question of an enhanced geothermal heat flux. Sturm (1995) observed that a glacier on Mt. Wrangell in Alaska did not show strong short term velocity fluctuations, as is typical of other gl</w:t>
      </w:r>
      <w:r>
        <w:rPr>
          <w:sz w:val="22"/>
        </w:rPr>
        <w:t xml:space="preserve">aciers in the area. He attributed this to the high volcanic activity of the mountain and proposed that a large volume of subglacial water can be sustained all year round. Typically the subglacial drainage system undergoes strong seasonal fluctuations that </w:t>
      </w:r>
      <w:r>
        <w:rPr>
          <w:sz w:val="22"/>
        </w:rPr>
        <w:t>influence basal motion. We regard the evidence for seasonal velocity changes as another indicator that volcanic heat is not a major factor in the mass balance and dynamics of Brown Glacier.</w:t>
      </w:r>
    </w:p>
    <w:p w:rsidR="00000000" w:rsidRDefault="004A63C4">
      <w:pPr>
        <w:spacing w:after="240" w:line="360" w:lineRule="auto"/>
        <w:jc w:val="both"/>
        <w:rPr>
          <w:sz w:val="22"/>
        </w:rPr>
      </w:pPr>
      <w:r>
        <w:rPr>
          <w:sz w:val="22"/>
        </w:rPr>
        <w:t xml:space="preserve">Additional evidence against large geothermal heat fluxes on Heard </w:t>
      </w:r>
      <w:r>
        <w:rPr>
          <w:sz w:val="22"/>
        </w:rPr>
        <w:t>Island is presented by Williams (1998). He concluded that observations on the Vahsel and the Mary Powell Glaciers could be explained without a significant geothermal heat flux and changes thereof.</w:t>
      </w:r>
    </w:p>
    <w:p w:rsidR="00000000" w:rsidRDefault="004A63C4">
      <w:pPr>
        <w:pStyle w:val="Heading6"/>
      </w:pPr>
      <w:r>
        <w:t>Föhn Winds</w:t>
      </w:r>
    </w:p>
    <w:p w:rsidR="00000000" w:rsidRDefault="004A63C4">
      <w:pPr>
        <w:spacing w:after="120" w:line="360" w:lineRule="auto"/>
        <w:jc w:val="both"/>
        <w:rPr>
          <w:sz w:val="22"/>
        </w:rPr>
      </w:pPr>
      <w:r>
        <w:rPr>
          <w:sz w:val="22"/>
        </w:rPr>
        <w:t xml:space="preserve">The glacier AWS recorded, and we experienced, a </w:t>
      </w:r>
      <w:r>
        <w:rPr>
          <w:sz w:val="22"/>
        </w:rPr>
        <w:t>number of Föhn winds while working on the glacier. These events were characterized by a sharp rise in temperature and coincident increase in wind speed. Relative humidity also rose dramatically.</w:t>
      </w:r>
    </w:p>
    <w:p w:rsidR="00000000" w:rsidRDefault="004A63C4">
      <w:pPr>
        <w:spacing w:after="120" w:line="360" w:lineRule="auto"/>
        <w:jc w:val="both"/>
        <w:rPr>
          <w:sz w:val="22"/>
        </w:rPr>
      </w:pPr>
      <w:r>
        <w:rPr>
          <w:sz w:val="22"/>
        </w:rPr>
        <w:t>Föhn winds result when moisture-laden air is forced over a to</w:t>
      </w:r>
      <w:r>
        <w:rPr>
          <w:sz w:val="22"/>
        </w:rPr>
        <w:t>pographic feature. As it rises, it cools at an adiabatic lapse rate of (for example) 0.65 °C per 100 m. The air loses its moisture as rain or snowfall, and having passed the obstacle, warms on descent at a higher adiabatic lapse rate (e.g. 1.0 °C per 100 m</w:t>
      </w:r>
      <w:r>
        <w:rPr>
          <w:sz w:val="22"/>
        </w:rPr>
        <w:t>). In this example, air rising from sea level, to 2500 m, and back to sea level, would be 12 °C warmer at sea level on the down wind/weather side of the topographic feature.</w:t>
      </w:r>
    </w:p>
    <w:p w:rsidR="00000000" w:rsidRDefault="004A63C4">
      <w:pPr>
        <w:spacing w:after="120" w:line="360" w:lineRule="auto"/>
        <w:jc w:val="both"/>
        <w:rPr>
          <w:sz w:val="22"/>
        </w:rPr>
      </w:pPr>
      <w:r>
        <w:rPr>
          <w:sz w:val="22"/>
        </w:rPr>
        <w:t>The records of three of these events are shown graphically in Fig. 16a-b. Both gra</w:t>
      </w:r>
      <w:r>
        <w:rPr>
          <w:sz w:val="22"/>
        </w:rPr>
        <w:t>phs are derived from data from the glacier AWS, with additional data from the Rock AWS for the second and third events. In the first event (Fig. 16a; November 4</w:t>
      </w:r>
      <w:r>
        <w:rPr>
          <w:sz w:val="22"/>
          <w:vertAlign w:val="superscript"/>
        </w:rPr>
        <w:t>th)</w:t>
      </w:r>
      <w:r>
        <w:rPr>
          <w:sz w:val="22"/>
        </w:rPr>
        <w:t>, we were dropped by helicopter at the rock AWS in calm conditions, and clear skies. Within a</w:t>
      </w:r>
      <w:r>
        <w:rPr>
          <w:sz w:val="22"/>
        </w:rPr>
        <w:t>bout 20 minutes, the wind had increased to gale force, and it was difficult to walk without the assistance of ski poles. Visibility was reduced to about 20 m due to blowing snow. The temperature increased noticeably, and the blowing snow began to melt on c</w:t>
      </w:r>
      <w:r>
        <w:rPr>
          <w:sz w:val="22"/>
        </w:rPr>
        <w:t>ontact with our clothing (even though the recorded temperature was not above 0 °C). In the second event (Fig. 16b; November 25</w:t>
      </w:r>
      <w:r>
        <w:rPr>
          <w:sz w:val="22"/>
          <w:vertAlign w:val="superscript"/>
        </w:rPr>
        <w:t>th</w:t>
      </w:r>
      <w:r>
        <w:rPr>
          <w:sz w:val="22"/>
        </w:rPr>
        <w:t>), wind and temperature had already increased by the time we reached the glacier AWS to dismantle it (temperature rose by an imp</w:t>
      </w:r>
      <w:r>
        <w:rPr>
          <w:sz w:val="22"/>
        </w:rPr>
        <w:t>ressive 9.58 °C from 08:30 to 09:00 UTC+7). This event was marked by very strong wind gusts, and temperatures above 0 °C, which the rock AWS recorded as lasting for about 10 hours. Visibility was much better on this occasion, mainly due to the very high te</w:t>
      </w:r>
      <w:r>
        <w:rPr>
          <w:sz w:val="22"/>
        </w:rPr>
        <w:t>mperatures that had reduced the snow to heavy slush. The sonic ranger recorded a 13 cm reduction in snow surface height in 4.5 hours (Fig. 11), prior to the unit being turned off. It was also noticed that the winds seemed to be preferentially channeled dow</w:t>
      </w:r>
      <w:r>
        <w:rPr>
          <w:sz w:val="22"/>
        </w:rPr>
        <w:t>n the glacial valley. The rock AWS recorded temperatures below 0 °C by early evening of the 25</w:t>
      </w:r>
      <w:r>
        <w:rPr>
          <w:sz w:val="22"/>
          <w:vertAlign w:val="superscript"/>
        </w:rPr>
        <w:t>th</w:t>
      </w:r>
      <w:r>
        <w:rPr>
          <w:sz w:val="22"/>
        </w:rPr>
        <w:t>. Early in the morning of 26</w:t>
      </w:r>
      <w:r>
        <w:rPr>
          <w:sz w:val="22"/>
          <w:vertAlign w:val="superscript"/>
        </w:rPr>
        <w:t>th</w:t>
      </w:r>
      <w:r>
        <w:rPr>
          <w:sz w:val="22"/>
        </w:rPr>
        <w:t xml:space="preserve"> November the wind and temperature increased again, and later that day a large waterfall was seen on the northern edge of the Brow</w:t>
      </w:r>
      <w:r>
        <w:rPr>
          <w:sz w:val="22"/>
        </w:rPr>
        <w:t>n Glacier valley, at about 350 m a.s.l., suggesting significant melting was underway. Temperatures at 550 m were above 5 °C for 7 hours, and hourly wind speed averages of 21 m.s</w:t>
      </w:r>
      <w:r>
        <w:rPr>
          <w:sz w:val="22"/>
          <w:vertAlign w:val="superscript"/>
        </w:rPr>
        <w:t>-1</w:t>
      </w:r>
      <w:r>
        <w:rPr>
          <w:sz w:val="22"/>
        </w:rPr>
        <w:t xml:space="preserve"> were recorded.</w:t>
      </w:r>
    </w:p>
    <w:p w:rsidR="00000000" w:rsidRDefault="004A63C4">
      <w:pPr>
        <w:spacing w:after="120" w:line="360" w:lineRule="auto"/>
        <w:jc w:val="both"/>
        <w:rPr>
          <w:sz w:val="22"/>
        </w:rPr>
      </w:pPr>
      <w:r>
        <w:rPr>
          <w:sz w:val="22"/>
        </w:rPr>
        <w:t xml:space="preserve">The rapid changes in temperature and wind speed accompanying </w:t>
      </w:r>
      <w:r>
        <w:rPr>
          <w:sz w:val="22"/>
        </w:rPr>
        <w:t>these events are more extreme than anything yet recorded during routine observations at either Atlas Cove or The Spit, or by the modified ocean weather buoys (recording temperature and pressure) that were placed at these locations during the 1990’s. Even t</w:t>
      </w:r>
      <w:r>
        <w:rPr>
          <w:sz w:val="22"/>
        </w:rPr>
        <w:t>hough Atlas Cove was occupied for a continuous period from 1948 to 1954, it is unlikely to have experienced Föhn winds due to its location at the western end of the island.</w:t>
      </w:r>
    </w:p>
    <w:p w:rsidR="00000000" w:rsidRDefault="004A63C4">
      <w:pPr>
        <w:spacing w:after="120" w:line="360" w:lineRule="auto"/>
        <w:jc w:val="both"/>
        <w:rPr>
          <w:sz w:val="22"/>
        </w:rPr>
      </w:pPr>
      <w:r>
        <w:rPr>
          <w:sz w:val="22"/>
        </w:rPr>
        <w:t>Föhn winds, particularly those experienced on the 25</w:t>
      </w:r>
      <w:r>
        <w:rPr>
          <w:sz w:val="22"/>
          <w:vertAlign w:val="superscript"/>
        </w:rPr>
        <w:t>th</w:t>
      </w:r>
      <w:r>
        <w:rPr>
          <w:sz w:val="22"/>
        </w:rPr>
        <w:t xml:space="preserve"> and 26</w:t>
      </w:r>
      <w:r>
        <w:rPr>
          <w:sz w:val="22"/>
          <w:vertAlign w:val="superscript"/>
        </w:rPr>
        <w:t>th</w:t>
      </w:r>
      <w:r>
        <w:rPr>
          <w:sz w:val="22"/>
        </w:rPr>
        <w:t xml:space="preserve"> November with their</w:t>
      </w:r>
      <w:r>
        <w:rPr>
          <w:sz w:val="22"/>
        </w:rPr>
        <w:t xml:space="preserve"> dramatic temperature rise, must have a significant influence on the mass balance of the glacier. Strong winds, not by themselves a characteristic unique to Föhn winds, also play a role in redistributing recent snowfalls.</w:t>
      </w:r>
    </w:p>
    <w:p w:rsidR="00000000" w:rsidRDefault="004A63C4">
      <w:pPr>
        <w:pStyle w:val="Heading3"/>
        <w:spacing w:after="240" w:line="360" w:lineRule="auto"/>
        <w:jc w:val="both"/>
        <w:rPr>
          <w:sz w:val="22"/>
        </w:rPr>
      </w:pPr>
      <w:r>
        <w:rPr>
          <w:sz w:val="22"/>
        </w:rPr>
        <w:t>REFERENCES</w:t>
      </w:r>
    </w:p>
    <w:p w:rsidR="00000000" w:rsidRDefault="004A63C4">
      <w:pPr>
        <w:spacing w:after="240" w:line="360" w:lineRule="auto"/>
        <w:ind w:left="720" w:hanging="720"/>
        <w:jc w:val="both"/>
        <w:rPr>
          <w:sz w:val="22"/>
        </w:rPr>
      </w:pPr>
      <w:r>
        <w:rPr>
          <w:sz w:val="22"/>
        </w:rPr>
        <w:t xml:space="preserve">Allison, I.F. &amp; Keage, </w:t>
      </w:r>
      <w:r>
        <w:rPr>
          <w:sz w:val="22"/>
        </w:rPr>
        <w:t xml:space="preserve">P.L., 1986. Recent changes in the glaciers of Heard Island. </w:t>
      </w:r>
      <w:r>
        <w:rPr>
          <w:i/>
          <w:iCs/>
          <w:sz w:val="22"/>
        </w:rPr>
        <w:t>Polar Record</w:t>
      </w:r>
      <w:r>
        <w:rPr>
          <w:sz w:val="22"/>
        </w:rPr>
        <w:t xml:space="preserve"> </w:t>
      </w:r>
      <w:r>
        <w:rPr>
          <w:b/>
          <w:bCs/>
          <w:sz w:val="22"/>
        </w:rPr>
        <w:t>23</w:t>
      </w:r>
      <w:r>
        <w:rPr>
          <w:sz w:val="22"/>
        </w:rPr>
        <w:t xml:space="preserve"> (144), 255-271.</w:t>
      </w:r>
    </w:p>
    <w:p w:rsidR="00000000" w:rsidRDefault="004A63C4">
      <w:pPr>
        <w:spacing w:after="240" w:line="360" w:lineRule="auto"/>
        <w:ind w:left="720" w:hanging="720"/>
        <w:jc w:val="both"/>
        <w:rPr>
          <w:bCs/>
          <w:sz w:val="22"/>
        </w:rPr>
      </w:pPr>
      <w:r>
        <w:rPr>
          <w:sz w:val="22"/>
        </w:rPr>
        <w:t xml:space="preserve">Banks, M.R. &amp; Brown, M.J., 2000. Heard Island papers. Papers presented at the Heard Island Workshop, Hobart, 29 June to 1 July 1998. </w:t>
      </w:r>
      <w:r>
        <w:rPr>
          <w:i/>
          <w:iCs/>
          <w:sz w:val="22"/>
        </w:rPr>
        <w:t>Papers and Proceedings of the R</w:t>
      </w:r>
      <w:r>
        <w:rPr>
          <w:i/>
          <w:iCs/>
          <w:sz w:val="22"/>
        </w:rPr>
        <w:t>oyal Society Tasmania,</w:t>
      </w:r>
      <w:r>
        <w:rPr>
          <w:sz w:val="22"/>
        </w:rPr>
        <w:t xml:space="preserve"> </w:t>
      </w:r>
      <w:r>
        <w:rPr>
          <w:b/>
          <w:sz w:val="22"/>
        </w:rPr>
        <w:t xml:space="preserve">133 </w:t>
      </w:r>
      <w:r>
        <w:rPr>
          <w:bCs/>
          <w:sz w:val="22"/>
        </w:rPr>
        <w:t>(Part 2), 77 pp.</w:t>
      </w:r>
    </w:p>
    <w:p w:rsidR="00000000" w:rsidRDefault="004A63C4">
      <w:pPr>
        <w:pStyle w:val="BodyText2"/>
        <w:ind w:left="720" w:hanging="720"/>
        <w:jc w:val="both"/>
      </w:pPr>
      <w:r>
        <w:t xml:space="preserve">Lambeth, A.J. 1951. Heard Island - Geography and glaciology. </w:t>
      </w:r>
      <w:r>
        <w:rPr>
          <w:i/>
          <w:iCs/>
        </w:rPr>
        <w:t>Journal and Proceedings of the Royal Society of  N.S.W for 1950</w:t>
      </w:r>
      <w:r>
        <w:t xml:space="preserve">, </w:t>
      </w:r>
      <w:r>
        <w:rPr>
          <w:b/>
          <w:bCs/>
        </w:rPr>
        <w:t xml:space="preserve">84 </w:t>
      </w:r>
      <w:r>
        <w:t>(2), 92-98.</w:t>
      </w:r>
    </w:p>
    <w:p w:rsidR="00000000" w:rsidRDefault="004A63C4">
      <w:pPr>
        <w:pStyle w:val="BodyText2"/>
        <w:ind w:left="720" w:hanging="720"/>
        <w:jc w:val="both"/>
        <w:rPr>
          <w:lang w:val="en-GB"/>
        </w:rPr>
      </w:pPr>
      <w:r>
        <w:rPr>
          <w:lang w:val="en-GB"/>
        </w:rPr>
        <w:t>Narod, B.B. &amp; Clarke, G.K.C., 1994. Miniature high</w:t>
      </w:r>
      <w:r>
        <w:rPr>
          <w:lang w:val="en-GB"/>
        </w:rPr>
        <w:noBreakHyphen/>
        <w:t>power impulse transm</w:t>
      </w:r>
      <w:r>
        <w:rPr>
          <w:lang w:val="en-GB"/>
        </w:rPr>
        <w:t>itter for radio</w:t>
      </w:r>
      <w:r>
        <w:rPr>
          <w:lang w:val="en-GB"/>
        </w:rPr>
        <w:noBreakHyphen/>
        <w:t xml:space="preserve">echo sounding. </w:t>
      </w:r>
      <w:r>
        <w:rPr>
          <w:i/>
          <w:lang w:val="en-GB"/>
        </w:rPr>
        <w:t xml:space="preserve">Journal of Glaciology, </w:t>
      </w:r>
      <w:r>
        <w:rPr>
          <w:b/>
          <w:lang w:val="en-GB"/>
        </w:rPr>
        <w:t xml:space="preserve">40 </w:t>
      </w:r>
      <w:r>
        <w:rPr>
          <w:lang w:val="en-GB"/>
        </w:rPr>
        <w:t>(134), 190-194.</w:t>
      </w:r>
    </w:p>
    <w:p w:rsidR="00000000" w:rsidRDefault="004A63C4">
      <w:pPr>
        <w:spacing w:after="240" w:line="360" w:lineRule="auto"/>
        <w:jc w:val="both"/>
        <w:rPr>
          <w:sz w:val="22"/>
          <w:lang w:val="en-GB"/>
        </w:rPr>
      </w:pPr>
      <w:r>
        <w:rPr>
          <w:sz w:val="22"/>
          <w:lang w:val="en-GB"/>
        </w:rPr>
        <w:t>Paterson, W.S.B. 1994. The physics of glaciers. Oxford etc., Elsevier Science Ltd., 480 pp.</w:t>
      </w:r>
    </w:p>
    <w:p w:rsidR="00000000" w:rsidRDefault="004A63C4">
      <w:pPr>
        <w:spacing w:after="240" w:line="360" w:lineRule="auto"/>
        <w:ind w:left="720" w:hanging="720"/>
        <w:jc w:val="both"/>
        <w:rPr>
          <w:sz w:val="22"/>
        </w:rPr>
      </w:pPr>
      <w:r>
        <w:rPr>
          <w:sz w:val="22"/>
        </w:rPr>
        <w:t>Sturm, M. 1995. Short-period velocity fluctuations of two glaciers on Mt. Wrangell, Alaska.</w:t>
      </w:r>
      <w:r>
        <w:rPr>
          <w:sz w:val="22"/>
        </w:rPr>
        <w:t xml:space="preserve"> </w:t>
      </w:r>
      <w:r>
        <w:rPr>
          <w:i/>
          <w:iCs/>
          <w:sz w:val="22"/>
        </w:rPr>
        <w:t>Physical Geography</w:t>
      </w:r>
      <w:r>
        <w:rPr>
          <w:sz w:val="22"/>
        </w:rPr>
        <w:t xml:space="preserve">, </w:t>
      </w:r>
      <w:r>
        <w:rPr>
          <w:b/>
          <w:bCs/>
          <w:sz w:val="22"/>
        </w:rPr>
        <w:t>16</w:t>
      </w:r>
      <w:r>
        <w:rPr>
          <w:sz w:val="22"/>
        </w:rPr>
        <w:t>(1), 42-58.</w:t>
      </w:r>
    </w:p>
    <w:p w:rsidR="00000000" w:rsidRDefault="004A63C4">
      <w:pPr>
        <w:spacing w:after="240" w:line="360" w:lineRule="auto"/>
        <w:ind w:left="720" w:hanging="720"/>
        <w:jc w:val="both"/>
        <w:rPr>
          <w:sz w:val="22"/>
        </w:rPr>
      </w:pPr>
      <w:r>
        <w:rPr>
          <w:sz w:val="22"/>
        </w:rPr>
        <w:t xml:space="preserve">Williams, G.D. 1998. The response of Heard Island glaciers to climate change. </w:t>
      </w:r>
      <w:r>
        <w:rPr>
          <w:i/>
          <w:iCs/>
          <w:sz w:val="22"/>
        </w:rPr>
        <w:t>Honours Thesis, University of Tasmania</w:t>
      </w:r>
      <w:r>
        <w:rPr>
          <w:sz w:val="22"/>
        </w:rPr>
        <w:t>. 113 pp.</w:t>
      </w:r>
    </w:p>
    <w:p w:rsidR="00000000" w:rsidRDefault="004A63C4">
      <w:pPr>
        <w:spacing w:after="240" w:line="360" w:lineRule="auto"/>
        <w:ind w:left="720" w:hanging="720"/>
        <w:jc w:val="both"/>
        <w:rPr>
          <w:sz w:val="22"/>
        </w:rPr>
      </w:pPr>
    </w:p>
    <w:p w:rsidR="00000000" w:rsidRDefault="004A63C4">
      <w:pPr>
        <w:pStyle w:val="Heading3"/>
        <w:spacing w:after="240" w:line="360" w:lineRule="auto"/>
        <w:jc w:val="both"/>
        <w:rPr>
          <w:sz w:val="22"/>
        </w:rPr>
      </w:pPr>
      <w:r>
        <w:rPr>
          <w:sz w:val="22"/>
        </w:rPr>
        <w:t>FIGURE CAPTIONS</w:t>
      </w:r>
    </w:p>
    <w:p w:rsidR="00000000" w:rsidRDefault="004A63C4">
      <w:pPr>
        <w:spacing w:after="240" w:line="360" w:lineRule="auto"/>
        <w:jc w:val="both"/>
        <w:rPr>
          <w:i/>
          <w:iCs/>
          <w:sz w:val="22"/>
        </w:rPr>
      </w:pPr>
      <w:r>
        <w:rPr>
          <w:sz w:val="22"/>
        </w:rPr>
        <w:t xml:space="preserve">Figure 1. </w:t>
      </w:r>
      <w:r>
        <w:rPr>
          <w:i/>
          <w:iCs/>
          <w:sz w:val="22"/>
        </w:rPr>
        <w:t>Map of Heard Island. The box shows the area enlarged in Figure 2.</w:t>
      </w:r>
    </w:p>
    <w:p w:rsidR="00000000" w:rsidRDefault="004A63C4">
      <w:pPr>
        <w:spacing w:after="240" w:line="360" w:lineRule="auto"/>
        <w:jc w:val="both"/>
        <w:rPr>
          <w:i/>
          <w:iCs/>
          <w:sz w:val="22"/>
        </w:rPr>
      </w:pPr>
      <w:r>
        <w:rPr>
          <w:sz w:val="22"/>
        </w:rPr>
        <w:t>Fi</w:t>
      </w:r>
      <w:r>
        <w:rPr>
          <w:sz w:val="22"/>
        </w:rPr>
        <w:t xml:space="preserve">gure 2. </w:t>
      </w:r>
      <w:r>
        <w:rPr>
          <w:i/>
          <w:iCs/>
          <w:sz w:val="22"/>
        </w:rPr>
        <w:t>Map of Brown Glacier created from an existing DEM and GPS profiles as described in the text. The 1947 and 2000 outlines are shown together with the surveyed profiles (red). The dots indicate index stations and the local GPS base station.</w:t>
      </w:r>
    </w:p>
    <w:p w:rsidR="00000000" w:rsidRDefault="004A63C4">
      <w:pPr>
        <w:spacing w:after="240" w:line="360" w:lineRule="auto"/>
        <w:jc w:val="both"/>
        <w:rPr>
          <w:sz w:val="22"/>
        </w:rPr>
      </w:pPr>
      <w:r>
        <w:rPr>
          <w:sz w:val="22"/>
        </w:rPr>
        <w:t xml:space="preserve">Figure 3. </w:t>
      </w:r>
      <w:r>
        <w:rPr>
          <w:i/>
          <w:iCs/>
          <w:sz w:val="22"/>
        </w:rPr>
        <w:t>Contour plot of Brown lagoon. Depth readings are indicated by dots. The shore line (blue) was surveyed with kinematic GPS methods. The eastern shore line could not surveyed due to the steep – and sometimes overhanging – walls.</w:t>
      </w:r>
    </w:p>
    <w:p w:rsidR="00000000" w:rsidRDefault="004A63C4">
      <w:pPr>
        <w:spacing w:after="240" w:line="360" w:lineRule="auto"/>
        <w:jc w:val="both"/>
        <w:rPr>
          <w:i/>
          <w:iCs/>
          <w:sz w:val="22"/>
        </w:rPr>
      </w:pPr>
      <w:r>
        <w:rPr>
          <w:sz w:val="22"/>
        </w:rPr>
        <w:t xml:space="preserve">Figure 4. </w:t>
      </w:r>
      <w:r>
        <w:rPr>
          <w:i/>
          <w:iCs/>
          <w:sz w:val="22"/>
        </w:rPr>
        <w:t>RES profiles. The f</w:t>
      </w:r>
      <w:r>
        <w:rPr>
          <w:i/>
          <w:iCs/>
          <w:sz w:val="22"/>
        </w:rPr>
        <w:t>igures show return ellipses and a “return envelope”. The positions of the index sites are also marked.</w:t>
      </w:r>
    </w:p>
    <w:p w:rsidR="00000000" w:rsidRDefault="004A63C4">
      <w:pPr>
        <w:spacing w:after="240" w:line="360" w:lineRule="auto"/>
        <w:jc w:val="both"/>
        <w:rPr>
          <w:sz w:val="22"/>
        </w:rPr>
      </w:pPr>
      <w:r>
        <w:rPr>
          <w:sz w:val="22"/>
        </w:rPr>
        <w:t xml:space="preserve">Figure 5. </w:t>
      </w:r>
      <w:r>
        <w:rPr>
          <w:i/>
          <w:iCs/>
          <w:sz w:val="22"/>
        </w:rPr>
        <w:t>Velocity vectors from two epochs for all index sites. The circle on the right indicates the position of the GPS base station. Dark and light ve</w:t>
      </w:r>
      <w:r>
        <w:rPr>
          <w:i/>
          <w:iCs/>
          <w:sz w:val="22"/>
        </w:rPr>
        <w:t>ctors indicate velocities over the first and second epoch, respectively. Circles at the end of the velocity vectors indicate estimated errors.</w:t>
      </w:r>
    </w:p>
    <w:p w:rsidR="00000000" w:rsidRDefault="004A63C4">
      <w:pPr>
        <w:spacing w:after="240" w:line="360" w:lineRule="auto"/>
        <w:jc w:val="both"/>
        <w:rPr>
          <w:sz w:val="22"/>
        </w:rPr>
      </w:pPr>
      <w:r>
        <w:rPr>
          <w:sz w:val="22"/>
        </w:rPr>
        <w:t xml:space="preserve">Figure 6. </w:t>
      </w:r>
      <w:r>
        <w:rPr>
          <w:i/>
          <w:iCs/>
          <w:sz w:val="22"/>
        </w:rPr>
        <w:t>Longitudinal velocity profile. Distance is along an approximate flowline, starting at the highest index</w:t>
      </w:r>
      <w:r>
        <w:rPr>
          <w:i/>
          <w:iCs/>
          <w:sz w:val="22"/>
        </w:rPr>
        <w:t xml:space="preserve"> sites, about 500 m from the glacier head</w:t>
      </w:r>
      <w:r>
        <w:rPr>
          <w:sz w:val="22"/>
        </w:rPr>
        <w:t xml:space="preserve">. </w:t>
      </w:r>
      <w:r>
        <w:rPr>
          <w:i/>
          <w:iCs/>
          <w:sz w:val="22"/>
        </w:rPr>
        <w:t>The dark and light lines show velocities over the first and second epoch, respectively.</w:t>
      </w:r>
    </w:p>
    <w:p w:rsidR="00000000" w:rsidRDefault="004A63C4">
      <w:pPr>
        <w:spacing w:after="240" w:line="360" w:lineRule="auto"/>
        <w:jc w:val="both"/>
        <w:rPr>
          <w:sz w:val="22"/>
        </w:rPr>
      </w:pPr>
      <w:r>
        <w:rPr>
          <w:sz w:val="22"/>
        </w:rPr>
        <w:t xml:space="preserve">Figure 7. </w:t>
      </w:r>
      <w:r>
        <w:rPr>
          <w:i/>
          <w:iCs/>
          <w:sz w:val="22"/>
        </w:rPr>
        <w:t>Transverse velocity profiles at BG35 (one epoch) and BG40 (two epochs). Distance is in m from BG35 and BG40 respect</w:t>
      </w:r>
      <w:r>
        <w:rPr>
          <w:i/>
          <w:iCs/>
          <w:sz w:val="22"/>
        </w:rPr>
        <w:t>ively</w:t>
      </w:r>
      <w:r>
        <w:rPr>
          <w:sz w:val="22"/>
        </w:rPr>
        <w:t xml:space="preserve">. </w:t>
      </w:r>
    </w:p>
    <w:p w:rsidR="00000000" w:rsidRDefault="004A63C4">
      <w:pPr>
        <w:spacing w:after="240" w:line="360" w:lineRule="auto"/>
        <w:jc w:val="both"/>
        <w:rPr>
          <w:sz w:val="22"/>
        </w:rPr>
      </w:pPr>
      <w:r>
        <w:rPr>
          <w:sz w:val="22"/>
        </w:rPr>
        <w:t xml:space="preserve">Figure 8. </w:t>
      </w:r>
      <w:r>
        <w:rPr>
          <w:i/>
          <w:iCs/>
          <w:sz w:val="22"/>
        </w:rPr>
        <w:t>Short term velocities of BG35</w:t>
      </w:r>
      <w:r>
        <w:rPr>
          <w:sz w:val="22"/>
        </w:rPr>
        <w:t>.</w:t>
      </w:r>
    </w:p>
    <w:p w:rsidR="00000000" w:rsidRDefault="004A63C4">
      <w:pPr>
        <w:spacing w:after="240" w:line="360" w:lineRule="auto"/>
        <w:jc w:val="both"/>
        <w:rPr>
          <w:i/>
          <w:iCs/>
          <w:sz w:val="22"/>
        </w:rPr>
      </w:pPr>
      <w:r>
        <w:rPr>
          <w:sz w:val="22"/>
        </w:rPr>
        <w:t xml:space="preserve">Figure 9. </w:t>
      </w:r>
      <w:r>
        <w:rPr>
          <w:i/>
          <w:iCs/>
          <w:sz w:val="22"/>
        </w:rPr>
        <w:t>Emergence velocities at the index sites.</w:t>
      </w:r>
    </w:p>
    <w:p w:rsidR="00000000" w:rsidRDefault="004A63C4">
      <w:pPr>
        <w:spacing w:after="240" w:line="360" w:lineRule="auto"/>
        <w:jc w:val="both"/>
        <w:rPr>
          <w:i/>
          <w:iCs/>
          <w:sz w:val="22"/>
        </w:rPr>
      </w:pPr>
      <w:r>
        <w:rPr>
          <w:sz w:val="22"/>
        </w:rPr>
        <w:t>Figure 10a-l.</w:t>
      </w:r>
      <w:r>
        <w:rPr>
          <w:i/>
          <w:iCs/>
          <w:sz w:val="22"/>
        </w:rPr>
        <w:t xml:space="preserve">  Snow accumulation/ablation at each of the glacier sites, and the transverse profiles at BG35 and BG40.</w:t>
      </w:r>
    </w:p>
    <w:p w:rsidR="00000000" w:rsidRDefault="004A63C4">
      <w:pPr>
        <w:spacing w:after="240" w:line="360" w:lineRule="auto"/>
        <w:jc w:val="both"/>
        <w:rPr>
          <w:sz w:val="22"/>
        </w:rPr>
      </w:pPr>
      <w:r>
        <w:rPr>
          <w:sz w:val="22"/>
        </w:rPr>
        <w:t>Figure 11.</w:t>
      </w:r>
      <w:r>
        <w:rPr>
          <w:i/>
          <w:iCs/>
          <w:sz w:val="22"/>
        </w:rPr>
        <w:t xml:space="preserve"> Results from the sonic rang</w:t>
      </w:r>
      <w:r>
        <w:rPr>
          <w:i/>
          <w:iCs/>
          <w:sz w:val="22"/>
        </w:rPr>
        <w:t>er at BG35 compared with measurements from the bamboo poles at the same site.</w:t>
      </w:r>
      <w:r>
        <w:rPr>
          <w:sz w:val="22"/>
        </w:rPr>
        <w:t xml:space="preserve"> </w:t>
      </w:r>
    </w:p>
    <w:p w:rsidR="00000000" w:rsidRDefault="004A63C4">
      <w:pPr>
        <w:spacing w:after="240" w:line="360" w:lineRule="auto"/>
        <w:jc w:val="both"/>
        <w:rPr>
          <w:sz w:val="22"/>
        </w:rPr>
      </w:pPr>
      <w:r>
        <w:rPr>
          <w:sz w:val="22"/>
        </w:rPr>
        <w:t xml:space="preserve">Figure 12. </w:t>
      </w:r>
      <w:r>
        <w:rPr>
          <w:i/>
          <w:iCs/>
          <w:sz w:val="22"/>
        </w:rPr>
        <w:t>Temperature and oxygen isotope ratios in a crevasse at 1050 m (a) and a snowpit at BG35 (b). The three lines in (a) at –2.2 m, -8.8 m, and –15.6 m indicate dirt layer</w:t>
      </w:r>
      <w:r>
        <w:rPr>
          <w:i/>
          <w:iCs/>
          <w:sz w:val="22"/>
        </w:rPr>
        <w:t>s, which are believed to form in late summer (March/April). The dotted line shows a hypothetical seasonal variation of the oxygen ratios.</w:t>
      </w:r>
    </w:p>
    <w:p w:rsidR="00000000" w:rsidRDefault="004A63C4">
      <w:pPr>
        <w:spacing w:after="240" w:line="360" w:lineRule="auto"/>
        <w:jc w:val="both"/>
        <w:rPr>
          <w:i/>
          <w:iCs/>
          <w:sz w:val="22"/>
        </w:rPr>
      </w:pPr>
      <w:r>
        <w:rPr>
          <w:sz w:val="22"/>
        </w:rPr>
        <w:t>Figure 13.</w:t>
      </w:r>
      <w:r>
        <w:rPr>
          <w:i/>
          <w:iCs/>
          <w:sz w:val="22"/>
        </w:rPr>
        <w:t xml:space="preserve"> Selected weather data from the glacier AWS located at BG35, from October 29</w:t>
      </w:r>
      <w:r>
        <w:rPr>
          <w:i/>
          <w:iCs/>
          <w:sz w:val="22"/>
          <w:vertAlign w:val="superscript"/>
        </w:rPr>
        <w:t>th</w:t>
      </w:r>
      <w:r>
        <w:rPr>
          <w:i/>
          <w:iCs/>
          <w:sz w:val="22"/>
        </w:rPr>
        <w:t xml:space="preserve"> to November 25</w:t>
      </w:r>
      <w:r>
        <w:rPr>
          <w:i/>
          <w:iCs/>
          <w:sz w:val="22"/>
          <w:vertAlign w:val="superscript"/>
        </w:rPr>
        <w:t>th</w:t>
      </w:r>
      <w:r>
        <w:rPr>
          <w:i/>
          <w:iCs/>
          <w:sz w:val="22"/>
        </w:rPr>
        <w:t>, 2000.</w:t>
      </w:r>
    </w:p>
    <w:p w:rsidR="00000000" w:rsidRDefault="004A63C4">
      <w:pPr>
        <w:spacing w:after="240" w:line="360" w:lineRule="auto"/>
        <w:jc w:val="both"/>
        <w:rPr>
          <w:i/>
          <w:iCs/>
          <w:sz w:val="22"/>
        </w:rPr>
      </w:pPr>
      <w:r>
        <w:rPr>
          <w:sz w:val="22"/>
        </w:rPr>
        <w:t>Figur</w:t>
      </w:r>
      <w:r>
        <w:rPr>
          <w:sz w:val="22"/>
        </w:rPr>
        <w:t>e 14.</w:t>
      </w:r>
      <w:r>
        <w:rPr>
          <w:i/>
          <w:iCs/>
          <w:sz w:val="22"/>
        </w:rPr>
        <w:t xml:space="preserve"> Comparisons between the rock AWS and the glacier AWS. </w:t>
      </w:r>
      <w:r>
        <w:rPr>
          <w:sz w:val="22"/>
        </w:rPr>
        <w:t>a)</w:t>
      </w:r>
      <w:r>
        <w:rPr>
          <w:i/>
          <w:iCs/>
          <w:sz w:val="22"/>
        </w:rPr>
        <w:t xml:space="preserve"> Temperature differences</w:t>
      </w:r>
      <w:r>
        <w:rPr>
          <w:sz w:val="22"/>
        </w:rPr>
        <w:t xml:space="preserve"> b)</w:t>
      </w:r>
      <w:r>
        <w:rPr>
          <w:i/>
          <w:iCs/>
          <w:sz w:val="22"/>
        </w:rPr>
        <w:t xml:space="preserve"> Wind speed differences.</w:t>
      </w:r>
    </w:p>
    <w:p w:rsidR="00000000" w:rsidRDefault="004A63C4">
      <w:pPr>
        <w:spacing w:after="240" w:line="360" w:lineRule="auto"/>
        <w:jc w:val="both"/>
        <w:rPr>
          <w:sz w:val="22"/>
        </w:rPr>
      </w:pPr>
      <w:r>
        <w:rPr>
          <w:sz w:val="22"/>
        </w:rPr>
        <w:t>Figure 15a)</w:t>
      </w:r>
      <w:r>
        <w:rPr>
          <w:i/>
          <w:iCs/>
          <w:sz w:val="22"/>
        </w:rPr>
        <w:t xml:space="preserve">  Average daily wind direction comparison between the rock AWS and the glacier AWS, November 6</w:t>
      </w:r>
      <w:r>
        <w:rPr>
          <w:i/>
          <w:iCs/>
          <w:sz w:val="22"/>
          <w:vertAlign w:val="superscript"/>
        </w:rPr>
        <w:t>th</w:t>
      </w:r>
      <w:r>
        <w:rPr>
          <w:i/>
          <w:iCs/>
          <w:sz w:val="22"/>
        </w:rPr>
        <w:t xml:space="preserve"> to 24</w:t>
      </w:r>
      <w:r>
        <w:rPr>
          <w:i/>
          <w:iCs/>
          <w:sz w:val="22"/>
          <w:vertAlign w:val="superscript"/>
        </w:rPr>
        <w:t>th</w:t>
      </w:r>
      <w:r>
        <w:rPr>
          <w:i/>
          <w:iCs/>
          <w:sz w:val="22"/>
        </w:rPr>
        <w:t xml:space="preserve">, 2000. </w:t>
      </w:r>
      <w:r>
        <w:rPr>
          <w:sz w:val="22"/>
        </w:rPr>
        <w:t>b)</w:t>
      </w:r>
      <w:r>
        <w:rPr>
          <w:i/>
          <w:iCs/>
          <w:sz w:val="22"/>
        </w:rPr>
        <w:t xml:space="preserve">  Difference betw</w:t>
      </w:r>
      <w:r>
        <w:rPr>
          <w:i/>
          <w:iCs/>
          <w:sz w:val="22"/>
        </w:rPr>
        <w:t>een the average daily wind direction at the rock AWS compared to the glacier AWS. Negative values indicate that the wind at the glacier AWS is to the right of the wind at the rock AWS e.g. if southerly at the rock AWS, the wind at the glacier AWS will tend</w:t>
      </w:r>
      <w:r>
        <w:rPr>
          <w:i/>
          <w:iCs/>
          <w:sz w:val="22"/>
        </w:rPr>
        <w:t xml:space="preserve"> to be westerly.</w:t>
      </w:r>
    </w:p>
    <w:p w:rsidR="00000000" w:rsidRDefault="004A63C4">
      <w:pPr>
        <w:spacing w:after="240" w:line="360" w:lineRule="auto"/>
        <w:jc w:val="both"/>
        <w:rPr>
          <w:i/>
          <w:iCs/>
          <w:sz w:val="22"/>
        </w:rPr>
      </w:pPr>
      <w:r>
        <w:rPr>
          <w:sz w:val="22"/>
        </w:rPr>
        <w:t>Figure 16.</w:t>
      </w:r>
      <w:r>
        <w:rPr>
          <w:i/>
          <w:iCs/>
          <w:sz w:val="22"/>
        </w:rPr>
        <w:t xml:space="preserve"> Föhn</w:t>
      </w:r>
      <w:r>
        <w:rPr>
          <w:sz w:val="22"/>
        </w:rPr>
        <w:t xml:space="preserve"> </w:t>
      </w:r>
      <w:r>
        <w:rPr>
          <w:i/>
          <w:iCs/>
          <w:sz w:val="22"/>
        </w:rPr>
        <w:t xml:space="preserve">wind records from </w:t>
      </w:r>
      <w:r>
        <w:rPr>
          <w:sz w:val="22"/>
        </w:rPr>
        <w:t>a)</w:t>
      </w:r>
      <w:r>
        <w:rPr>
          <w:i/>
          <w:iCs/>
          <w:sz w:val="22"/>
        </w:rPr>
        <w:t xml:space="preserve"> the glacier AWS, and</w:t>
      </w:r>
      <w:r>
        <w:rPr>
          <w:sz w:val="22"/>
        </w:rPr>
        <w:t xml:space="preserve"> b)</w:t>
      </w:r>
      <w:r>
        <w:rPr>
          <w:i/>
          <w:iCs/>
          <w:sz w:val="22"/>
        </w:rPr>
        <w:t xml:space="preserve"> combined data from the glacier and rock AWS for two events over three days. See discussion for details.</w:t>
      </w:r>
    </w:p>
    <w:sectPr w:rsidR="00000000">
      <w:pgSz w:w="11909" w:h="16834"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63C4"/>
    <w:rsid w:val="004A63C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15CEAA19-BC26-4A59-92B1-D12AF4E00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eastAsia="en-US"/>
    </w:rPr>
  </w:style>
  <w:style w:type="paragraph" w:styleId="Heading1">
    <w:name w:val="heading 1"/>
    <w:basedOn w:val="Normal"/>
    <w:next w:val="Normal"/>
    <w:qFormat/>
    <w:pPr>
      <w:keepNext/>
      <w:outlineLvl w:val="0"/>
    </w:pPr>
    <w:rPr>
      <w:b/>
      <w:bCs/>
      <w:u w:val="single"/>
    </w:rPr>
  </w:style>
  <w:style w:type="paragraph" w:styleId="Heading2">
    <w:name w:val="heading 2"/>
    <w:basedOn w:val="Normal"/>
    <w:next w:val="Normal"/>
    <w:qFormat/>
    <w:pPr>
      <w:keepNext/>
      <w:outlineLvl w:val="1"/>
    </w:pPr>
    <w:rPr>
      <w:u w:val="single"/>
    </w:rPr>
  </w:style>
  <w:style w:type="paragraph" w:styleId="Heading3">
    <w:name w:val="heading 3"/>
    <w:basedOn w:val="Normal"/>
    <w:next w:val="Normal"/>
    <w:qFormat/>
    <w:pPr>
      <w:keepNext/>
      <w:outlineLvl w:val="2"/>
    </w:pPr>
    <w:rPr>
      <w:b/>
      <w:bCs/>
    </w:rPr>
  </w:style>
  <w:style w:type="paragraph" w:styleId="Heading4">
    <w:name w:val="heading 4"/>
    <w:basedOn w:val="Normal"/>
    <w:next w:val="Normal"/>
    <w:qFormat/>
    <w:pPr>
      <w:keepNext/>
      <w:outlineLvl w:val="3"/>
    </w:pPr>
    <w:rPr>
      <w:rFonts w:ascii="Arial" w:hAnsi="Arial" w:cs="Arial"/>
      <w:b/>
      <w:bCs/>
      <w:sz w:val="16"/>
      <w:szCs w:val="20"/>
    </w:rPr>
  </w:style>
  <w:style w:type="paragraph" w:styleId="Heading5">
    <w:name w:val="heading 5"/>
    <w:basedOn w:val="Normal"/>
    <w:next w:val="Normal"/>
    <w:qFormat/>
    <w:pPr>
      <w:keepNext/>
      <w:jc w:val="center"/>
      <w:outlineLvl w:val="4"/>
    </w:pPr>
    <w:rPr>
      <w:rFonts w:ascii="Arial" w:hAnsi="Arial" w:cs="Arial"/>
      <w:i/>
      <w:iCs/>
      <w:sz w:val="16"/>
      <w:szCs w:val="20"/>
    </w:rPr>
  </w:style>
  <w:style w:type="paragraph" w:styleId="Heading6">
    <w:name w:val="heading 6"/>
    <w:basedOn w:val="Normal"/>
    <w:next w:val="Normal"/>
    <w:qFormat/>
    <w:pPr>
      <w:keepNext/>
      <w:spacing w:after="240" w:line="360" w:lineRule="auto"/>
      <w:jc w:val="both"/>
      <w:outlineLvl w:val="5"/>
    </w:pPr>
    <w:rPr>
      <w:b/>
      <w:bCs/>
      <w:sz w:val="2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240" w:line="360" w:lineRule="auto"/>
      <w:jc w:val="both"/>
    </w:pPr>
    <w:rPr>
      <w:sz w:val="22"/>
    </w:rPr>
  </w:style>
  <w:style w:type="paragraph" w:styleId="BodyText2">
    <w:name w:val="Body Text 2"/>
    <w:basedOn w:val="Normal"/>
    <w:semiHidden/>
    <w:pPr>
      <w:spacing w:after="240" w:line="360" w:lineRule="auto"/>
    </w:pPr>
    <w:rPr>
      <w:rFonts w:cs="Time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oleObject" Target="embeddings/oleObject5.bin"/><Relationship Id="rId18" Type="http://schemas.openxmlformats.org/officeDocument/2006/relationships/oleObject" Target="embeddings/oleObject8.bin"/><Relationship Id="rId3" Type="http://schemas.openxmlformats.org/officeDocument/2006/relationships/webSettings" Target="webSettings.xml"/><Relationship Id="rId21" Type="http://schemas.openxmlformats.org/officeDocument/2006/relationships/image" Target="media/image9.wmf"/><Relationship Id="rId7" Type="http://schemas.openxmlformats.org/officeDocument/2006/relationships/oleObject" Target="embeddings/oleObject2.bin"/><Relationship Id="rId12" Type="http://schemas.openxmlformats.org/officeDocument/2006/relationships/image" Target="media/image5.wmf"/><Relationship Id="rId17" Type="http://schemas.openxmlformats.org/officeDocument/2006/relationships/oleObject" Target="embeddings/oleObject7.bin"/><Relationship Id="rId2" Type="http://schemas.openxmlformats.org/officeDocument/2006/relationships/settings" Target="settings.xml"/><Relationship Id="rId16" Type="http://schemas.openxmlformats.org/officeDocument/2006/relationships/image" Target="media/image7.wmf"/><Relationship Id="rId20" Type="http://schemas.openxmlformats.org/officeDocument/2006/relationships/oleObject" Target="embeddings/oleObject9.bin"/><Relationship Id="rId1" Type="http://schemas.openxmlformats.org/officeDocument/2006/relationships/styles" Target="styles.xml"/><Relationship Id="rId6" Type="http://schemas.openxmlformats.org/officeDocument/2006/relationships/image" Target="media/image2.wmf"/><Relationship Id="rId11" Type="http://schemas.openxmlformats.org/officeDocument/2006/relationships/oleObject" Target="embeddings/oleObject4.bin"/><Relationship Id="rId24" Type="http://schemas.openxmlformats.org/officeDocument/2006/relationships/theme" Target="theme/theme1.xml"/><Relationship Id="rId5" Type="http://schemas.openxmlformats.org/officeDocument/2006/relationships/oleObject" Target="embeddings/oleObject1.bin"/><Relationship Id="rId15" Type="http://schemas.openxmlformats.org/officeDocument/2006/relationships/oleObject" Target="embeddings/oleObject6.bin"/><Relationship Id="rId23" Type="http://schemas.openxmlformats.org/officeDocument/2006/relationships/fontTable" Target="fontTable.xml"/><Relationship Id="rId10" Type="http://schemas.openxmlformats.org/officeDocument/2006/relationships/image" Target="media/image4.wmf"/><Relationship Id="rId19" Type="http://schemas.openxmlformats.org/officeDocument/2006/relationships/image" Target="media/image8.wmf"/><Relationship Id="rId4" Type="http://schemas.openxmlformats.org/officeDocument/2006/relationships/image" Target="media/image1.wmf"/><Relationship Id="rId9" Type="http://schemas.openxmlformats.org/officeDocument/2006/relationships/oleObject" Target="embeddings/oleObject3.bin"/><Relationship Id="rId14" Type="http://schemas.openxmlformats.org/officeDocument/2006/relationships/image" Target="media/image6.wmf"/><Relationship Id="rId22" Type="http://schemas.openxmlformats.org/officeDocument/2006/relationships/oleObject" Target="embeddings/oleObject1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4482</Words>
  <Characters>25551</Characters>
  <Application>Microsoft Office Word</Application>
  <DocSecurity>4</DocSecurity>
  <Lines>212</Lines>
  <Paragraphs>59</Paragraphs>
  <ScaleCrop>false</ScaleCrop>
  <HeadingPairs>
    <vt:vector size="2" baseType="variant">
      <vt:variant>
        <vt:lpstr>Title</vt:lpstr>
      </vt:variant>
      <vt:variant>
        <vt:i4>1</vt:i4>
      </vt:variant>
    </vt:vector>
  </HeadingPairs>
  <TitlesOfParts>
    <vt:vector size="1" baseType="lpstr">
      <vt:lpstr>Brown Glacier Data Report</vt:lpstr>
    </vt:vector>
  </TitlesOfParts>
  <Company>Dell Computer Corporation</Company>
  <LinksUpToDate>false</LinksUpToDate>
  <CharactersWithSpaces>29974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Brown Glacier Data Report</dc:title>
  <dc:subject/>
  <dc:creator>mtruffer</dc:creator>
  <cp:keywords/>
  <dc:description/>
  <cp:lastModifiedBy>Dave Connell</cp:lastModifiedBy>
  <cp:revision>2</cp:revision>
  <cp:lastPrinted>2001-03-27T06:03:00Z</cp:lastPrinted>
  <dcterms:created xsi:type="dcterms:W3CDTF">2020-12-11T05:12:00Z</dcterms:created>
  <dcterms:modified xsi:type="dcterms:W3CDTF">2020-12-11T05:12:00Z</dcterms:modified>
</cp:coreProperties>
</file>