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090019">
      <w:pPr>
        <w:pStyle w:val="Heading6"/>
      </w:pPr>
      <w:bookmarkStart w:id="0" w:name="_GoBack"/>
      <w:bookmarkEnd w:id="0"/>
      <w:r>
        <w:t>DISCUSSION</w:t>
      </w:r>
    </w:p>
    <w:p w:rsidR="00000000" w:rsidRDefault="00090019">
      <w:pPr>
        <w:pStyle w:val="Heading6"/>
      </w:pPr>
      <w:r>
        <w:t>Geothermal heat</w:t>
      </w:r>
    </w:p>
    <w:p w:rsidR="00000000" w:rsidRDefault="00090019">
      <w:pPr>
        <w:spacing w:after="240" w:line="360" w:lineRule="auto"/>
        <w:jc w:val="both"/>
        <w:rPr>
          <w:sz w:val="22"/>
        </w:rPr>
      </w:pPr>
      <w:r>
        <w:rPr>
          <w:sz w:val="22"/>
        </w:rPr>
        <w:t>Brown Glacier, like most Heard Island glaciers, flows down the flank of Big Ben, an active volcano that makes up most of the island. ANARE expeditioners observed volcanic activity, such as plumes and eruptions, in the 2000/2001 f</w:t>
      </w:r>
      <w:r>
        <w:rPr>
          <w:sz w:val="22"/>
        </w:rPr>
        <w:t>ield season. This activity was observed on the western flank of the volcano, where lava flows have previously occurred (REFERENCE). The question naturally arises whether the geothermal heat flux is a major component of the mass balance of Heard Island glac</w:t>
      </w:r>
      <w:r>
        <w:rPr>
          <w:sz w:val="22"/>
        </w:rPr>
        <w:t>iers in general and Brown Glacier in particular, and whether changes of this heat flux might account for the recent glacier retreat.</w:t>
      </w:r>
    </w:p>
    <w:p w:rsidR="00000000" w:rsidRDefault="00090019">
      <w:pPr>
        <w:spacing w:after="240" w:line="360" w:lineRule="auto"/>
        <w:jc w:val="both"/>
        <w:rPr>
          <w:sz w:val="22"/>
        </w:rPr>
      </w:pPr>
      <w:r>
        <w:rPr>
          <w:sz w:val="22"/>
        </w:rPr>
        <w:t>Lambeth (1951) recorded seasonal velocity variations of the nearby Baudisson Glacier. It is believed that a large geotherma</w:t>
      </w:r>
      <w:r>
        <w:rPr>
          <w:sz w:val="22"/>
        </w:rPr>
        <w:t xml:space="preserve">l heat flux suppresses such short term velocity changes, because a basal water supply can be maintained at all times (Sturm, 1995). Seasonal velocity variations (or a lack of it) have not been documented on Brown Glacier, because our field season ended in </w:t>
      </w:r>
      <w:r>
        <w:rPr>
          <w:sz w:val="22"/>
        </w:rPr>
        <w:t xml:space="preserve">late winter. </w:t>
      </w:r>
    </w:p>
    <w:p w:rsidR="00000000" w:rsidRDefault="00090019">
      <w:pPr>
        <w:spacing w:after="240" w:line="360" w:lineRule="auto"/>
        <w:jc w:val="both"/>
        <w:rPr>
          <w:sz w:val="22"/>
        </w:rPr>
      </w:pPr>
      <w:r>
        <w:rPr>
          <w:sz w:val="22"/>
        </w:rPr>
        <w:t xml:space="preserve">If basal melting were to have an effect on the glacier mass balance it should be seen in the vertical velocity measured at the surface. The so-called emergence velocity </w:t>
      </w:r>
      <w:r>
        <w:rPr>
          <w:i/>
          <w:iCs/>
          <w:sz w:val="22"/>
        </w:rPr>
        <w:t>v</w:t>
      </w:r>
      <w:r>
        <w:rPr>
          <w:i/>
          <w:iCs/>
          <w:vertAlign w:val="subscript"/>
        </w:rPr>
        <w:t>emerg</w:t>
      </w:r>
      <w:r>
        <w:rPr>
          <w:sz w:val="22"/>
        </w:rPr>
        <w:t xml:space="preserve"> is obtained by removing the surface parallel component from the ve</w:t>
      </w:r>
      <w:r>
        <w:rPr>
          <w:sz w:val="22"/>
        </w:rPr>
        <w:t xml:space="preserve">rtical velocity (Paterson, 1994, p. 258). It then contains the combined effect of surface mass balance </w:t>
      </w:r>
      <w:r>
        <w:rPr>
          <w:position w:val="-6"/>
          <w:sz w:val="22"/>
        </w:rPr>
        <w:object w:dxaOrig="20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16.8pt" o:ole="">
            <v:imagedata r:id="rId4" o:title=""/>
          </v:shape>
          <o:OLEObject Type="Embed" ProgID="Equation.3" ShapeID="_x0000_i1025" DrawAspect="Content" ObjectID="_1669208275" r:id="rId5"/>
        </w:object>
      </w:r>
      <w:r>
        <w:rPr>
          <w:sz w:val="22"/>
        </w:rPr>
        <w:t xml:space="preserve">, basal melting </w:t>
      </w:r>
      <w:r>
        <w:rPr>
          <w:position w:val="-14"/>
          <w:sz w:val="22"/>
        </w:rPr>
        <w:object w:dxaOrig="320" w:dyaOrig="380">
          <v:shape id="_x0000_i1026" type="#_x0000_t75" style="width:16.2pt;height:19.2pt" o:ole="">
            <v:imagedata r:id="rId6" o:title=""/>
          </v:shape>
          <o:OLEObject Type="Embed" ProgID="Equation.3" ShapeID="_x0000_i1026" DrawAspect="Content" ObjectID="_1669208276" r:id="rId7"/>
        </w:object>
      </w:r>
      <w:r>
        <w:rPr>
          <w:sz w:val="22"/>
        </w:rPr>
        <w:t xml:space="preserve">and the change in surface elevation </w:t>
      </w:r>
      <w:r>
        <w:rPr>
          <w:position w:val="-6"/>
          <w:sz w:val="22"/>
        </w:rPr>
        <w:object w:dxaOrig="660" w:dyaOrig="279">
          <v:shape id="_x0000_i1027" type="#_x0000_t75" style="width:33pt;height:13.8pt" o:ole="">
            <v:imagedata r:id="rId8" o:title=""/>
          </v:shape>
          <o:OLEObject Type="Embed" ProgID="Equation.3" ShapeID="_x0000_i1027" DrawAspect="Content" ObjectID="_1669208277" r:id="rId9"/>
        </w:object>
      </w:r>
      <w:r>
        <w:rPr>
          <w:sz w:val="22"/>
        </w:rPr>
        <w:t>:</w:t>
      </w:r>
    </w:p>
    <w:p w:rsidR="00000000" w:rsidRDefault="00090019">
      <w:pPr>
        <w:spacing w:after="240" w:line="360" w:lineRule="auto"/>
        <w:jc w:val="both"/>
        <w:rPr>
          <w:sz w:val="22"/>
        </w:rPr>
      </w:pPr>
      <w:r>
        <w:rPr>
          <w:sz w:val="22"/>
        </w:rPr>
        <w:tab/>
      </w:r>
      <w:r>
        <w:rPr>
          <w:sz w:val="22"/>
        </w:rPr>
        <w:tab/>
      </w:r>
      <w:r>
        <w:rPr>
          <w:position w:val="-14"/>
          <w:sz w:val="22"/>
        </w:rPr>
        <w:object w:dxaOrig="2240" w:dyaOrig="420">
          <v:shape id="_x0000_i1028" type="#_x0000_t75" style="width:112.2pt;height:21pt" o:ole="">
            <v:imagedata r:id="rId10" o:title=""/>
          </v:shape>
          <o:OLEObject Type="Embed" ProgID="Equation.3" ShapeID="_x0000_i1028" DrawAspect="Content" ObjectID="_1669208278" r:id="rId11"/>
        </w:object>
      </w:r>
    </w:p>
    <w:p w:rsidR="00000000" w:rsidRDefault="00090019">
      <w:pPr>
        <w:spacing w:after="240" w:line="360" w:lineRule="auto"/>
        <w:jc w:val="both"/>
        <w:rPr>
          <w:sz w:val="22"/>
        </w:rPr>
      </w:pPr>
      <w:r>
        <w:rPr>
          <w:sz w:val="22"/>
        </w:rPr>
        <w:t>Sign</w:t>
      </w:r>
      <w:r>
        <w:rPr>
          <w:sz w:val="22"/>
        </w:rPr>
        <w:t>ificant basal melting would therefore add a negative component to the emergence velocity. Figure EMERGENCE shows that those velocities are positive in the accumulation area. In steady state they would be negative, and basal melting would make them even mor</w:t>
      </w:r>
      <w:r>
        <w:rPr>
          <w:sz w:val="22"/>
        </w:rPr>
        <w:t>e negative. We therefore interpret the emergence velocities as additional evidence against significant basal melt and increased geothermal heat flux.</w:t>
      </w:r>
    </w:p>
    <w:p w:rsidR="00000000" w:rsidRDefault="00090019">
      <w:pPr>
        <w:spacing w:after="240" w:line="360" w:lineRule="auto"/>
        <w:jc w:val="both"/>
        <w:rPr>
          <w:sz w:val="22"/>
        </w:rPr>
      </w:pPr>
      <w:r>
        <w:rPr>
          <w:sz w:val="22"/>
        </w:rPr>
        <w:t>In any case, even an order of magnitude increase of the “normal” geothermal heat flux would only account f</w:t>
      </w:r>
      <w:r>
        <w:rPr>
          <w:sz w:val="22"/>
        </w:rPr>
        <w:t>or a few centimeters of basal melt (Paterson, 1994, p. 214). As pointed out, that might be enough to influence the dynamics of the glacier by providing year around lubrication of the glacier bed.</w:t>
      </w:r>
    </w:p>
    <w:p w:rsidR="00000000" w:rsidRDefault="00090019">
      <w:pPr>
        <w:spacing w:after="240" w:line="360" w:lineRule="auto"/>
        <w:jc w:val="both"/>
        <w:rPr>
          <w:sz w:val="22"/>
        </w:rPr>
      </w:pPr>
      <w:r>
        <w:rPr>
          <w:sz w:val="22"/>
        </w:rPr>
        <w:lastRenderedPageBreak/>
        <w:t>Volcanic eruptions can also cover glaciers with debris reduc</w:t>
      </w:r>
      <w:r>
        <w:rPr>
          <w:sz w:val="22"/>
        </w:rPr>
        <w:t>ing ablation rates. No debris or dust layers have been observed on Brown Glacier, however.</w:t>
      </w:r>
    </w:p>
    <w:p w:rsidR="00000000" w:rsidRDefault="00090019">
      <w:pPr>
        <w:pStyle w:val="Heading6"/>
      </w:pPr>
      <w:r>
        <w:t>State of balance</w:t>
      </w:r>
    </w:p>
    <w:p w:rsidR="00000000" w:rsidRDefault="00090019">
      <w:pPr>
        <w:spacing w:after="240" w:line="360" w:lineRule="auto"/>
        <w:jc w:val="both"/>
      </w:pPr>
      <w:r>
        <w:rPr>
          <w:sz w:val="22"/>
        </w:rPr>
        <w:t xml:space="preserve">The measured and calculated ice thicknesses (see GLACIER DYNAMICS) and the measured velocities permit an estimation of the ice flux and the iceflux </w:t>
      </w:r>
      <w:r>
        <w:rPr>
          <w:sz w:val="22"/>
        </w:rPr>
        <w:t>divergence.</w:t>
      </w:r>
    </w:p>
    <w:sectPr w:rsidR="0000000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019"/>
    <w:rsid w:val="000900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4515D09C-1A16-46CA-A331-54DB3868A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6">
    <w:name w:val="heading 6"/>
    <w:basedOn w:val="Normal"/>
    <w:next w:val="Normal"/>
    <w:qFormat/>
    <w:pPr>
      <w:keepNext/>
      <w:spacing w:after="240" w:line="360" w:lineRule="auto"/>
      <w:jc w:val="both"/>
      <w:outlineLvl w:val="5"/>
    </w:pPr>
    <w:rPr>
      <w:b/>
      <w:bCs/>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oleObject" Target="embeddings/oleObject2.bin"/><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5" Type="http://schemas.openxmlformats.org/officeDocument/2006/relationships/oleObject" Target="embeddings/oleObject1.bin"/><Relationship Id="rId10" Type="http://schemas.openxmlformats.org/officeDocument/2006/relationships/image" Target="media/image4.wmf"/><Relationship Id="rId4" Type="http://schemas.openxmlformats.org/officeDocument/2006/relationships/image" Target="media/image1.wmf"/><Relationship Id="rId9"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383</Words>
  <Characters>2189</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DISCUSSION</vt:lpstr>
    </vt:vector>
  </TitlesOfParts>
  <Company>Dell Computer Corporation</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dc:title>
  <dc:subject/>
  <dc:creator>mtruffer</dc:creator>
  <cp:keywords/>
  <dc:description/>
  <cp:lastModifiedBy>Dave Connell</cp:lastModifiedBy>
  <cp:revision>2</cp:revision>
  <dcterms:created xsi:type="dcterms:W3CDTF">2020-12-11T05:11:00Z</dcterms:created>
  <dcterms:modified xsi:type="dcterms:W3CDTF">2020-12-11T05:11:00Z</dcterms:modified>
</cp:coreProperties>
</file>