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649A5" w:rsidRDefault="00000000">
      <w:pPr>
        <w:bidi/>
        <w:spacing w:line="480" w:lineRule="auto"/>
        <w:jc w:val="center"/>
        <w:rPr>
          <w:rFonts w:ascii="David" w:eastAsia="David" w:hAnsi="David" w:cs="David"/>
          <w:b/>
          <w:sz w:val="24"/>
          <w:szCs w:val="24"/>
          <w:u w:val="single"/>
        </w:rPr>
      </w:pPr>
      <w:r>
        <w:rPr>
          <w:rFonts w:ascii="David" w:eastAsia="David" w:hAnsi="David" w:cs="David"/>
          <w:b/>
          <w:sz w:val="24"/>
          <w:szCs w:val="24"/>
          <w:u w:val="single"/>
          <w:rtl/>
        </w:rPr>
        <w:t xml:space="preserve">שלב א': </w:t>
      </w:r>
      <w:proofErr w:type="spellStart"/>
      <w:r>
        <w:rPr>
          <w:rFonts w:ascii="David" w:eastAsia="David" w:hAnsi="David" w:cs="David"/>
          <w:b/>
          <w:sz w:val="24"/>
          <w:szCs w:val="24"/>
          <w:u w:val="single"/>
          <w:rtl/>
        </w:rPr>
        <w:t>רציונאל</w:t>
      </w:r>
      <w:proofErr w:type="spellEnd"/>
      <w:r>
        <w:rPr>
          <w:rFonts w:ascii="David" w:eastAsia="David" w:hAnsi="David" w:cs="David"/>
          <w:b/>
          <w:sz w:val="24"/>
          <w:szCs w:val="24"/>
          <w:u w:val="single"/>
          <w:rtl/>
        </w:rPr>
        <w:t xml:space="preserve"> (קורס יישומי טכנולוגיה)</w:t>
      </w:r>
    </w:p>
    <w:p w14:paraId="00000003" w14:textId="54557A03" w:rsidR="00D649A5" w:rsidRDefault="00000000">
      <w:pPr>
        <w:bidi/>
        <w:spacing w:before="240" w:after="240" w:line="480" w:lineRule="auto"/>
        <w:ind w:right="420"/>
        <w:rPr>
          <w:rFonts w:ascii="David" w:eastAsia="David" w:hAnsi="David" w:cs="David"/>
          <w:sz w:val="24"/>
          <w:szCs w:val="24"/>
          <w:rtl/>
        </w:rPr>
      </w:pPr>
      <w:r w:rsidRPr="008F0C14">
        <w:rPr>
          <w:rFonts w:ascii="David" w:eastAsia="David" w:hAnsi="David" w:cs="David"/>
          <w:bCs/>
          <w:sz w:val="24"/>
          <w:szCs w:val="24"/>
          <w:rtl/>
        </w:rPr>
        <w:t>האוכלוסייה</w:t>
      </w:r>
      <w:r>
        <w:rPr>
          <w:rFonts w:ascii="David" w:eastAsia="David" w:hAnsi="David" w:cs="David"/>
          <w:b/>
          <w:sz w:val="24"/>
          <w:szCs w:val="24"/>
          <w:rtl/>
        </w:rPr>
        <w:t>:</w:t>
      </w:r>
      <w:r>
        <w:rPr>
          <w:rFonts w:ascii="David" w:eastAsia="David" w:hAnsi="David" w:cs="David"/>
          <w:sz w:val="24"/>
          <w:szCs w:val="24"/>
          <w:rtl/>
        </w:rPr>
        <w:t xml:space="preserve"> ילדים בגילאי 6-12 עם </w:t>
      </w:r>
      <w:hyperlink r:id="rId4">
        <w:r w:rsidR="00D649A5">
          <w:rPr>
            <w:rFonts w:ascii="Times New Roman" w:eastAsia="Times New Roman" w:hAnsi="Times New Roman" w:cs="Times New Roman"/>
            <w:sz w:val="24"/>
            <w:szCs w:val="24"/>
            <w:highlight w:val="white"/>
          </w:rPr>
          <w:t>Attention deficit hyperactivity disorde</w:t>
        </w:r>
      </w:hyperlink>
      <w:r>
        <w:rPr>
          <w:rFonts w:ascii="Times New Roman" w:eastAsia="Times New Roman" w:hAnsi="Times New Roman" w:cs="Times New Roman"/>
          <w:sz w:val="24"/>
          <w:szCs w:val="24"/>
        </w:rPr>
        <w:t>r</w:t>
      </w:r>
      <w:r>
        <w:rPr>
          <w:rFonts w:ascii="David" w:eastAsia="David" w:hAnsi="David" w:cs="David"/>
          <w:sz w:val="24"/>
          <w:szCs w:val="24"/>
        </w:rPr>
        <w:t xml:space="preserve"> (</w:t>
      </w:r>
      <w:r>
        <w:rPr>
          <w:rFonts w:ascii="Times New Roman" w:eastAsia="Times New Roman" w:hAnsi="Times New Roman" w:cs="Times New Roman"/>
          <w:sz w:val="24"/>
          <w:szCs w:val="24"/>
        </w:rPr>
        <w:t>ADHD</w:t>
      </w:r>
      <w:r>
        <w:rPr>
          <w:rFonts w:ascii="David" w:eastAsia="David" w:hAnsi="David" w:cs="David"/>
          <w:sz w:val="24"/>
          <w:szCs w:val="24"/>
        </w:rPr>
        <w:t>)</w:t>
      </w:r>
      <w:r w:rsidR="008F0C14">
        <w:rPr>
          <w:rFonts w:ascii="David" w:eastAsia="David" w:hAnsi="David" w:cs="David" w:hint="cs"/>
          <w:sz w:val="24"/>
          <w:szCs w:val="24"/>
          <w:rtl/>
        </w:rPr>
        <w:t>.</w:t>
      </w:r>
    </w:p>
    <w:p w14:paraId="00000004" w14:textId="77777777" w:rsidR="00D649A5" w:rsidRDefault="00000000">
      <w:pPr>
        <w:bidi/>
        <w:spacing w:before="240" w:after="240" w:line="480" w:lineRule="auto"/>
        <w:ind w:right="420"/>
        <w:rPr>
          <w:rFonts w:ascii="David" w:eastAsia="David" w:hAnsi="David" w:cs="David"/>
          <w:sz w:val="24"/>
          <w:szCs w:val="24"/>
        </w:rPr>
      </w:pPr>
      <w:r w:rsidRPr="008F0C14">
        <w:rPr>
          <w:rFonts w:ascii="David" w:eastAsia="David" w:hAnsi="David" w:cs="David"/>
          <w:bCs/>
          <w:sz w:val="24"/>
          <w:szCs w:val="24"/>
          <w:rtl/>
        </w:rPr>
        <w:t>הבעיה</w:t>
      </w:r>
      <w:r>
        <w:rPr>
          <w:rFonts w:ascii="David" w:eastAsia="David" w:hAnsi="David" w:cs="David"/>
          <w:b/>
          <w:sz w:val="24"/>
          <w:szCs w:val="24"/>
          <w:rtl/>
        </w:rPr>
        <w:t>:</w:t>
      </w:r>
      <w:r>
        <w:rPr>
          <w:rFonts w:ascii="David" w:eastAsia="David" w:hAnsi="David" w:cs="David"/>
          <w:sz w:val="24"/>
          <w:szCs w:val="24"/>
          <w:rtl/>
        </w:rPr>
        <w:t xml:space="preserve"> קושי במיומנות של אינהיביציה (עיכוב תגובה) כחלק מתכונה של אימפולסיביות המאפיינת אוכלוסייה זו.</w:t>
      </w:r>
    </w:p>
    <w:p w14:paraId="00000006" w14:textId="41E76D77" w:rsidR="00D649A5" w:rsidRPr="008F0C14" w:rsidRDefault="00000000" w:rsidP="008F0C14">
      <w:pPr>
        <w:bidi/>
        <w:spacing w:before="240" w:after="240" w:line="480" w:lineRule="auto"/>
        <w:ind w:right="420"/>
        <w:rPr>
          <w:rFonts w:ascii="David" w:eastAsia="David" w:hAnsi="David" w:cs="David"/>
          <w:b/>
          <w:sz w:val="24"/>
          <w:szCs w:val="24"/>
          <w:rtl/>
        </w:rPr>
      </w:pPr>
      <w:proofErr w:type="spellStart"/>
      <w:r w:rsidRPr="008F0C14">
        <w:rPr>
          <w:rFonts w:ascii="David" w:eastAsia="David" w:hAnsi="David" w:cs="David"/>
          <w:bCs/>
          <w:sz w:val="24"/>
          <w:szCs w:val="24"/>
          <w:rtl/>
        </w:rPr>
        <w:t>רציונאל</w:t>
      </w:r>
      <w:proofErr w:type="spellEnd"/>
      <w:r>
        <w:rPr>
          <w:rFonts w:ascii="David" w:eastAsia="David" w:hAnsi="David" w:cs="David"/>
          <w:b/>
          <w:sz w:val="24"/>
          <w:szCs w:val="24"/>
          <w:rtl/>
        </w:rPr>
        <w:t>:</w:t>
      </w:r>
      <w:r>
        <w:rPr>
          <w:rFonts w:ascii="Times New Roman" w:eastAsia="Times New Roman" w:hAnsi="Times New Roman" w:cs="Times New Roman"/>
          <w:sz w:val="24"/>
          <w:szCs w:val="24"/>
        </w:rPr>
        <w:t>ADH</w:t>
      </w:r>
      <w:r w:rsidR="008F0C14">
        <w:rPr>
          <w:rFonts w:ascii="Times New Roman" w:eastAsia="Times New Roman" w:hAnsi="Times New Roman" w:cs="Times New Roman"/>
          <w:sz w:val="24"/>
          <w:szCs w:val="24"/>
        </w:rPr>
        <w:t>D</w:t>
      </w:r>
      <w:r>
        <w:rPr>
          <w:rFonts w:ascii="David" w:eastAsia="David" w:hAnsi="David" w:cs="David"/>
          <w:sz w:val="24"/>
          <w:szCs w:val="24"/>
          <w:rtl/>
        </w:rPr>
        <w:t xml:space="preserve"> הינה הפרעה נפוצה המתאפיינת בקשיי קשב, היפראקטיביות ואימפולסיביות המפריעות לתפקוד בסביבות שונות (</w:t>
      </w:r>
      <w:r>
        <w:rPr>
          <w:rFonts w:ascii="Times New Roman" w:eastAsia="Times New Roman" w:hAnsi="Times New Roman" w:cs="Times New Roman"/>
          <w:sz w:val="24"/>
          <w:szCs w:val="24"/>
        </w:rPr>
        <w:t>American Psychiatric Association [APA], 2013</w:t>
      </w:r>
      <w:r>
        <w:rPr>
          <w:rFonts w:ascii="David" w:eastAsia="David" w:hAnsi="David" w:cs="David"/>
          <w:sz w:val="24"/>
          <w:szCs w:val="24"/>
          <w:rtl/>
        </w:rPr>
        <w:t xml:space="preserve">). נמצא כי מיומנות האינהיביציה של ילדים עם </w:t>
      </w:r>
      <w:r>
        <w:rPr>
          <w:rFonts w:ascii="David" w:eastAsia="David" w:hAnsi="David" w:cs="David"/>
          <w:sz w:val="24"/>
          <w:szCs w:val="24"/>
        </w:rPr>
        <w:t>ADHD</w:t>
      </w:r>
      <w:r>
        <w:rPr>
          <w:rFonts w:ascii="David" w:eastAsia="David" w:hAnsi="David" w:cs="David"/>
          <w:sz w:val="24"/>
          <w:szCs w:val="24"/>
          <w:rtl/>
        </w:rPr>
        <w:t xml:space="preserve"> הינה פחותה לעומת ילדים ללא </w:t>
      </w:r>
      <w:r>
        <w:rPr>
          <w:rFonts w:ascii="Times New Roman" w:eastAsia="Times New Roman" w:hAnsi="Times New Roman" w:cs="Times New Roman"/>
          <w:sz w:val="24"/>
          <w:szCs w:val="24"/>
        </w:rPr>
        <w:t>ADHD</w:t>
      </w:r>
      <w:r w:rsidR="008F0C14">
        <w:rPr>
          <w:rFonts w:ascii="David" w:eastAsia="David" w:hAnsi="David" w:cs="David" w:hint="cs"/>
          <w:sz w:val="24"/>
          <w:szCs w:val="24"/>
          <w:rtl/>
          <w:lang w:val="en-US"/>
        </w:rPr>
        <w:t xml:space="preserve"> </w:t>
      </w:r>
      <w:r w:rsidR="008F0C14">
        <w:rPr>
          <w:rFonts w:ascii="David" w:eastAsia="David" w:hAnsi="David" w:cs="David"/>
          <w:sz w:val="24"/>
          <w:szCs w:val="24"/>
        </w:rPr>
        <w:t>(</w:t>
      </w:r>
      <w:r w:rsidR="008F0C14">
        <w:rPr>
          <w:rFonts w:ascii="Times New Roman" w:eastAsia="Times New Roman" w:hAnsi="Times New Roman" w:cs="Times New Roman"/>
          <w:sz w:val="24"/>
          <w:szCs w:val="24"/>
        </w:rPr>
        <w:t>Adams et al., 2010</w:t>
      </w:r>
      <w:r w:rsidR="008F0C14">
        <w:rPr>
          <w:rFonts w:ascii="David" w:eastAsia="David" w:hAnsi="David" w:cs="David"/>
          <w:sz w:val="24"/>
          <w:szCs w:val="24"/>
        </w:rPr>
        <w:t xml:space="preserve">; </w:t>
      </w:r>
      <w:r w:rsidR="008F0C14">
        <w:rPr>
          <w:rFonts w:ascii="Times New Roman" w:eastAsia="Times New Roman" w:hAnsi="Times New Roman" w:cs="Times New Roman"/>
          <w:sz w:val="24"/>
          <w:szCs w:val="24"/>
        </w:rPr>
        <w:t>Tye et al., 2014</w:t>
      </w:r>
      <w:r w:rsidR="008F0C14">
        <w:rPr>
          <w:rFonts w:ascii="Times New Roman" w:eastAsia="Times New Roman" w:hAnsi="Times New Roman" w:cs="Times New Roman"/>
          <w:sz w:val="24"/>
          <w:szCs w:val="24"/>
          <w:lang w:val="en-US"/>
        </w:rPr>
        <w:t>)</w:t>
      </w:r>
      <w:r>
        <w:rPr>
          <w:rFonts w:ascii="David" w:eastAsia="David" w:hAnsi="David" w:cs="David"/>
          <w:sz w:val="24"/>
          <w:szCs w:val="24"/>
          <w:rtl/>
        </w:rPr>
        <w:t>. לצד זאת, נמצא כי ילדים עם אתגרים אלו</w:t>
      </w:r>
      <w:r w:rsidR="008F0C14">
        <w:rPr>
          <w:rFonts w:ascii="David" w:eastAsia="David" w:hAnsi="David" w:cs="David" w:hint="cs"/>
          <w:sz w:val="24"/>
          <w:szCs w:val="24"/>
          <w:rtl/>
        </w:rPr>
        <w:t>,</w:t>
      </w:r>
      <w:r>
        <w:rPr>
          <w:rFonts w:ascii="David" w:eastAsia="David" w:hAnsi="David" w:cs="David"/>
          <w:sz w:val="24"/>
          <w:szCs w:val="24"/>
          <w:rtl/>
        </w:rPr>
        <w:t xml:space="preserve"> מתקשים בתיעדוף תגובותיהם בעת ביצוע מטלות שונות, ביניהן פעולות קוגניטיביות, וכן יש גם השפעה על ההתנהגות ועל האינטראקציה של הפרט עם סביבתו (</w:t>
      </w:r>
      <w:r>
        <w:rPr>
          <w:rFonts w:ascii="Times New Roman" w:eastAsia="Times New Roman" w:hAnsi="Times New Roman" w:cs="Times New Roman"/>
          <w:color w:val="222222"/>
          <w:sz w:val="24"/>
          <w:szCs w:val="24"/>
          <w:highlight w:val="white"/>
        </w:rPr>
        <w:t xml:space="preserve">Rahmi &amp; </w:t>
      </w:r>
      <w:proofErr w:type="spellStart"/>
      <w:r>
        <w:rPr>
          <w:rFonts w:ascii="Times New Roman" w:eastAsia="Times New Roman" w:hAnsi="Times New Roman" w:cs="Times New Roman"/>
          <w:color w:val="222222"/>
          <w:sz w:val="24"/>
          <w:szCs w:val="24"/>
          <w:highlight w:val="white"/>
        </w:rPr>
        <w:t>Wimbarti</w:t>
      </w:r>
      <w:proofErr w:type="spellEnd"/>
      <w:r>
        <w:rPr>
          <w:rFonts w:ascii="Times New Roman" w:eastAsia="Times New Roman" w:hAnsi="Times New Roman" w:cs="Times New Roman"/>
          <w:color w:val="222222"/>
          <w:sz w:val="24"/>
          <w:szCs w:val="24"/>
          <w:highlight w:val="white"/>
        </w:rPr>
        <w:t xml:space="preserve">, 2018; </w:t>
      </w:r>
      <w:r>
        <w:rPr>
          <w:rFonts w:ascii="Times New Roman" w:eastAsia="Times New Roman" w:hAnsi="Times New Roman" w:cs="Times New Roman"/>
          <w:sz w:val="24"/>
          <w:szCs w:val="24"/>
        </w:rPr>
        <w:t>Hughes et al., 2004</w:t>
      </w:r>
      <w:r>
        <w:rPr>
          <w:rFonts w:ascii="David" w:eastAsia="David" w:hAnsi="David" w:cs="David"/>
          <w:sz w:val="24"/>
          <w:szCs w:val="24"/>
          <w:rtl/>
        </w:rPr>
        <w:t>). כתוצאה מקשיים אלו ביכולת האינהיביציה, ילדים נוטים לליקויים בתפקודים</w:t>
      </w:r>
      <w:r w:rsidR="008F0C14">
        <w:rPr>
          <w:rFonts w:ascii="David" w:eastAsia="David" w:hAnsi="David" w:cs="David" w:hint="cs"/>
          <w:sz w:val="24"/>
          <w:szCs w:val="24"/>
          <w:rtl/>
        </w:rPr>
        <w:t xml:space="preserve"> הלימודיים</w:t>
      </w:r>
      <w:r>
        <w:rPr>
          <w:rFonts w:ascii="David" w:eastAsia="David" w:hAnsi="David" w:cs="David"/>
          <w:sz w:val="24"/>
          <w:szCs w:val="24"/>
          <w:rtl/>
        </w:rPr>
        <w:t xml:space="preserve"> </w:t>
      </w:r>
      <w:r w:rsidR="008F0C14">
        <w:rPr>
          <w:rFonts w:ascii="David" w:eastAsia="David" w:hAnsi="David" w:cs="David" w:hint="cs"/>
          <w:sz w:val="24"/>
          <w:szCs w:val="24"/>
          <w:rtl/>
        </w:rPr>
        <w:t>ו</w:t>
      </w:r>
      <w:r>
        <w:rPr>
          <w:rFonts w:ascii="David" w:eastAsia="David" w:hAnsi="David" w:cs="David"/>
          <w:sz w:val="24"/>
          <w:szCs w:val="24"/>
          <w:rtl/>
        </w:rPr>
        <w:t>החברתי</w:t>
      </w:r>
      <w:r w:rsidR="008F0C14">
        <w:rPr>
          <w:rFonts w:ascii="David" w:eastAsia="David" w:hAnsi="David" w:cs="David" w:hint="cs"/>
          <w:sz w:val="24"/>
          <w:szCs w:val="24"/>
          <w:rtl/>
        </w:rPr>
        <w:t>ים</w:t>
      </w:r>
      <w:r>
        <w:rPr>
          <w:rFonts w:ascii="David" w:eastAsia="David" w:hAnsi="David" w:cs="David"/>
          <w:sz w:val="24"/>
          <w:szCs w:val="24"/>
          <w:rtl/>
        </w:rPr>
        <w:t>, ביניהם הימנעות וחרדה חברתית (</w:t>
      </w:r>
      <w:r>
        <w:rPr>
          <w:rFonts w:ascii="Times New Roman" w:eastAsia="Times New Roman" w:hAnsi="Times New Roman" w:cs="Times New Roman"/>
          <w:color w:val="222222"/>
          <w:sz w:val="24"/>
          <w:szCs w:val="24"/>
          <w:highlight w:val="white"/>
        </w:rPr>
        <w:t xml:space="preserve">Rahmi &amp; </w:t>
      </w:r>
      <w:proofErr w:type="spellStart"/>
      <w:r>
        <w:rPr>
          <w:rFonts w:ascii="Times New Roman" w:eastAsia="Times New Roman" w:hAnsi="Times New Roman" w:cs="Times New Roman"/>
          <w:color w:val="222222"/>
          <w:sz w:val="24"/>
          <w:szCs w:val="24"/>
          <w:highlight w:val="white"/>
        </w:rPr>
        <w:t>Wimbarti</w:t>
      </w:r>
      <w:proofErr w:type="spellEnd"/>
      <w:r>
        <w:rPr>
          <w:rFonts w:ascii="Times New Roman" w:eastAsia="Times New Roman" w:hAnsi="Times New Roman" w:cs="Times New Roman"/>
          <w:color w:val="222222"/>
          <w:sz w:val="24"/>
          <w:szCs w:val="24"/>
          <w:highlight w:val="white"/>
        </w:rPr>
        <w:t>, 2018</w:t>
      </w:r>
      <w:r>
        <w:rPr>
          <w:rFonts w:ascii="David" w:eastAsia="David" w:hAnsi="David" w:cs="David"/>
          <w:sz w:val="24"/>
          <w:szCs w:val="24"/>
          <w:rtl/>
        </w:rPr>
        <w:t xml:space="preserve">). </w:t>
      </w:r>
    </w:p>
    <w:p w14:paraId="3A37D9DA" w14:textId="0D3165F4" w:rsidR="008F0C14" w:rsidRDefault="008F0C14" w:rsidP="008F0C14">
      <w:pPr>
        <w:bidi/>
        <w:spacing w:before="240" w:after="240" w:line="480" w:lineRule="auto"/>
        <w:ind w:right="420" w:firstLine="720"/>
        <w:rPr>
          <w:rFonts w:ascii="David" w:eastAsia="David" w:hAnsi="David" w:cs="David"/>
          <w:sz w:val="24"/>
          <w:szCs w:val="24"/>
          <w:rtl/>
        </w:rPr>
      </w:pPr>
      <w:r>
        <w:rPr>
          <w:rFonts w:ascii="David" w:eastAsia="David" w:hAnsi="David" w:cs="David"/>
          <w:sz w:val="24"/>
          <w:szCs w:val="24"/>
          <w:rtl/>
        </w:rPr>
        <w:t>ההתערבויות העיקריות ל</w:t>
      </w:r>
      <w:r w:rsidR="00275650">
        <w:rPr>
          <w:rFonts w:ascii="David" w:eastAsia="David" w:hAnsi="David" w:cs="David" w:hint="cs"/>
          <w:sz w:val="24"/>
          <w:szCs w:val="24"/>
          <w:rtl/>
        </w:rPr>
        <w:t>שיפור יכולת ה</w:t>
      </w:r>
      <w:r>
        <w:rPr>
          <w:rFonts w:ascii="David" w:eastAsia="David" w:hAnsi="David" w:cs="David"/>
          <w:sz w:val="24"/>
          <w:szCs w:val="24"/>
          <w:rtl/>
        </w:rPr>
        <w:t>אינהיביציה כיום</w:t>
      </w:r>
      <w:r w:rsidR="00275650">
        <w:rPr>
          <w:rFonts w:ascii="David" w:eastAsia="David" w:hAnsi="David" w:cs="David" w:hint="cs"/>
          <w:sz w:val="24"/>
          <w:szCs w:val="24"/>
          <w:rtl/>
        </w:rPr>
        <w:t>,</w:t>
      </w:r>
      <w:r>
        <w:rPr>
          <w:rFonts w:ascii="David" w:eastAsia="David" w:hAnsi="David" w:cs="David"/>
          <w:sz w:val="24"/>
          <w:szCs w:val="24"/>
          <w:rtl/>
        </w:rPr>
        <w:t xml:space="preserve"> כוללות תרגול קבוצתי של אסטרטגיות</w:t>
      </w:r>
      <w:r w:rsidR="00275650">
        <w:rPr>
          <w:rFonts w:ascii="David" w:eastAsia="David" w:hAnsi="David" w:cs="David" w:hint="cs"/>
          <w:sz w:val="24"/>
          <w:szCs w:val="24"/>
          <w:rtl/>
        </w:rPr>
        <w:t xml:space="preserve"> ושימוש</w:t>
      </w:r>
      <w:r>
        <w:rPr>
          <w:rFonts w:ascii="David" w:eastAsia="David" w:hAnsi="David" w:cs="David"/>
          <w:sz w:val="24"/>
          <w:szCs w:val="24"/>
          <w:rtl/>
        </w:rPr>
        <w:t xml:space="preserve"> </w:t>
      </w:r>
      <w:r w:rsidR="00275650">
        <w:rPr>
          <w:rFonts w:ascii="David" w:eastAsia="David" w:hAnsi="David" w:cs="David" w:hint="cs"/>
          <w:sz w:val="24"/>
          <w:szCs w:val="24"/>
          <w:rtl/>
        </w:rPr>
        <w:t>ב</w:t>
      </w:r>
      <w:r>
        <w:rPr>
          <w:rFonts w:ascii="David" w:eastAsia="David" w:hAnsi="David" w:cs="David"/>
          <w:sz w:val="24"/>
          <w:szCs w:val="24"/>
          <w:rtl/>
        </w:rPr>
        <w:t>משחקי מחשב</w:t>
      </w:r>
      <w:r w:rsidR="00275650">
        <w:rPr>
          <w:rFonts w:ascii="David" w:eastAsia="David" w:hAnsi="David" w:cs="David" w:hint="cs"/>
          <w:sz w:val="24"/>
          <w:szCs w:val="24"/>
          <w:rtl/>
        </w:rPr>
        <w:t xml:space="preserve"> </w:t>
      </w:r>
      <w:r w:rsidR="00275650">
        <w:rPr>
          <w:rFonts w:ascii="David" w:eastAsia="David" w:hAnsi="David" w:cs="David"/>
          <w:sz w:val="24"/>
          <w:szCs w:val="24"/>
          <w:rtl/>
        </w:rPr>
        <w:t>(</w:t>
      </w:r>
      <w:r w:rsidR="00275650">
        <w:rPr>
          <w:rFonts w:ascii="Times New Roman" w:eastAsia="Times New Roman" w:hAnsi="Times New Roman" w:cs="Times New Roman"/>
          <w:sz w:val="24"/>
          <w:szCs w:val="24"/>
        </w:rPr>
        <w:t>Re et al., 2015</w:t>
      </w:r>
      <w:r w:rsidR="00275650">
        <w:rPr>
          <w:rFonts w:ascii="David" w:eastAsia="David" w:hAnsi="David" w:cs="David"/>
          <w:sz w:val="24"/>
          <w:szCs w:val="24"/>
          <w:rtl/>
        </w:rPr>
        <w:t>)</w:t>
      </w:r>
      <w:r>
        <w:rPr>
          <w:rFonts w:ascii="David" w:eastAsia="David" w:hAnsi="David" w:cs="David"/>
          <w:sz w:val="24"/>
          <w:szCs w:val="24"/>
          <w:rtl/>
        </w:rPr>
        <w:t>.</w:t>
      </w:r>
      <w:r>
        <w:rPr>
          <w:rFonts w:ascii="David" w:eastAsia="David" w:hAnsi="David" w:cs="David" w:hint="cs"/>
          <w:sz w:val="24"/>
          <w:szCs w:val="24"/>
          <w:rtl/>
        </w:rPr>
        <w:t xml:space="preserve"> </w:t>
      </w:r>
      <w:r>
        <w:rPr>
          <w:rFonts w:ascii="David" w:eastAsia="David" w:hAnsi="David" w:cs="David"/>
          <w:sz w:val="24"/>
          <w:szCs w:val="24"/>
          <w:rtl/>
        </w:rPr>
        <w:t xml:space="preserve">במחקר של </w:t>
      </w:r>
      <w:r>
        <w:rPr>
          <w:rFonts w:ascii="Times New Roman" w:eastAsia="Times New Roman" w:hAnsi="Times New Roman" w:cs="Times New Roman"/>
          <w:sz w:val="24"/>
          <w:szCs w:val="24"/>
        </w:rPr>
        <w:t>Titto &amp; Lodder</w:t>
      </w:r>
      <w:r>
        <w:rPr>
          <w:rFonts w:ascii="David" w:eastAsia="David" w:hAnsi="David" w:cs="David"/>
          <w:sz w:val="24"/>
          <w:szCs w:val="24"/>
          <w:rtl/>
        </w:rPr>
        <w:t xml:space="preserve"> (2022) נמצא כי משחקי מחשב נמצאו יעילים בשיפור מרכיב האינהיביציה בקרב ילדים עם </w:t>
      </w:r>
      <w:r w:rsidR="00275650" w:rsidRPr="00E637EE">
        <w:rPr>
          <w:rFonts w:asciiTheme="majorBidi" w:eastAsia="David" w:hAnsiTheme="majorBidi" w:cstheme="majorBidi"/>
          <w:sz w:val="24"/>
          <w:szCs w:val="24"/>
          <w:lang w:val="en-US"/>
        </w:rPr>
        <w:t>ADHD</w:t>
      </w:r>
      <w:r>
        <w:rPr>
          <w:rFonts w:ascii="David" w:eastAsia="David" w:hAnsi="David" w:cs="David"/>
          <w:sz w:val="24"/>
          <w:szCs w:val="24"/>
          <w:rtl/>
        </w:rPr>
        <w:t>. במחקר</w:t>
      </w:r>
      <w:r w:rsidR="00275650">
        <w:rPr>
          <w:rFonts w:ascii="David" w:eastAsia="David" w:hAnsi="David" w:cs="David" w:hint="cs"/>
          <w:sz w:val="24"/>
          <w:szCs w:val="24"/>
          <w:rtl/>
        </w:rPr>
        <w:t xml:space="preserve"> נוסף,</w:t>
      </w:r>
      <w:r>
        <w:rPr>
          <w:rFonts w:ascii="David" w:eastAsia="David" w:hAnsi="David" w:cs="David"/>
          <w:sz w:val="24"/>
          <w:szCs w:val="24"/>
          <w:rtl/>
        </w:rPr>
        <w:t xml:space="preserve"> שנערך בערב הסעודית, נבדק כיצד משחקים בפלאפון/</w:t>
      </w:r>
      <w:proofErr w:type="spellStart"/>
      <w:r w:rsidR="00275650">
        <w:rPr>
          <w:rFonts w:ascii="David" w:eastAsia="David" w:hAnsi="David" w:cs="David" w:hint="cs"/>
          <w:sz w:val="24"/>
          <w:szCs w:val="24"/>
          <w:rtl/>
        </w:rPr>
        <w:t>ב</w:t>
      </w:r>
      <w:r>
        <w:rPr>
          <w:rFonts w:ascii="David" w:eastAsia="David" w:hAnsi="David" w:cs="David"/>
          <w:sz w:val="24"/>
          <w:szCs w:val="24"/>
          <w:rtl/>
        </w:rPr>
        <w:t>טאבלט</w:t>
      </w:r>
      <w:proofErr w:type="spellEnd"/>
      <w:r>
        <w:rPr>
          <w:rFonts w:ascii="David" w:eastAsia="David" w:hAnsi="David" w:cs="David"/>
          <w:sz w:val="24"/>
          <w:szCs w:val="24"/>
          <w:rtl/>
        </w:rPr>
        <w:t xml:space="preserve"> יכולים לסייע בשיפור של מרכיבים קוגניטיביים בקרב ילדים בני 6-12. נמצא שיפור במספר יכולות קוגניטיביות וביניה</w:t>
      </w:r>
      <w:r w:rsidR="00275650">
        <w:rPr>
          <w:rFonts w:ascii="David" w:eastAsia="David" w:hAnsi="David" w:cs="David" w:hint="cs"/>
          <w:sz w:val="24"/>
          <w:szCs w:val="24"/>
          <w:rtl/>
        </w:rPr>
        <w:t>ן</w:t>
      </w:r>
      <w:r>
        <w:rPr>
          <w:rFonts w:ascii="David" w:eastAsia="David" w:hAnsi="David" w:cs="David"/>
          <w:sz w:val="24"/>
          <w:szCs w:val="24"/>
          <w:rtl/>
        </w:rPr>
        <w:t xml:space="preserve"> שיפור ביכולת האינהיביציה </w:t>
      </w:r>
      <w:r w:rsidR="00275650">
        <w:rPr>
          <w:rFonts w:ascii="David" w:eastAsia="David" w:hAnsi="David" w:cs="David"/>
          <w:sz w:val="24"/>
          <w:szCs w:val="24"/>
        </w:rPr>
        <w:t>(</w:t>
      </w:r>
      <w:proofErr w:type="spellStart"/>
      <w:r>
        <w:rPr>
          <w:rFonts w:ascii="Times New Roman" w:eastAsia="Times New Roman" w:hAnsi="Times New Roman" w:cs="Times New Roman"/>
          <w:sz w:val="24"/>
          <w:szCs w:val="24"/>
        </w:rPr>
        <w:t>Sinnari</w:t>
      </w:r>
      <w:proofErr w:type="spellEnd"/>
      <w:r>
        <w:rPr>
          <w:rFonts w:ascii="Times New Roman" w:eastAsia="Times New Roman" w:hAnsi="Times New Roman" w:cs="Times New Roman"/>
          <w:sz w:val="24"/>
          <w:szCs w:val="24"/>
        </w:rPr>
        <w:t xml:space="preserve"> et al, 2018</w:t>
      </w:r>
      <w:r>
        <w:rPr>
          <w:rFonts w:ascii="David" w:eastAsia="David" w:hAnsi="David" w:cs="David"/>
          <w:sz w:val="24"/>
          <w:szCs w:val="24"/>
        </w:rPr>
        <w:t xml:space="preserve">). </w:t>
      </w:r>
    </w:p>
    <w:p w14:paraId="00000008" w14:textId="22F55E85" w:rsidR="00D649A5" w:rsidRDefault="00000000" w:rsidP="008F0C14">
      <w:pPr>
        <w:bidi/>
        <w:spacing w:before="240" w:after="240" w:line="480" w:lineRule="auto"/>
        <w:ind w:left="48" w:right="420" w:firstLine="672"/>
        <w:rPr>
          <w:rFonts w:ascii="David" w:eastAsia="David" w:hAnsi="David" w:cs="David"/>
          <w:sz w:val="24"/>
          <w:szCs w:val="24"/>
        </w:rPr>
      </w:pPr>
      <w:r>
        <w:rPr>
          <w:rFonts w:ascii="David" w:eastAsia="David" w:hAnsi="David" w:cs="David"/>
          <w:sz w:val="24"/>
          <w:szCs w:val="24"/>
          <w:rtl/>
        </w:rPr>
        <w:t>לאור קשיי האוכלוסייה המדוברת, ולאור מחקרים המראים שיפור ביכולת האינהיביציה בקרב ילדים בעזרת שימוש במכשיר חכם, ראינו צורך בפיתוח משחק טיפולי אשר יעזור בשיפור יכולת זו מחד, ומאידך יהיה מעניין, אטרקטיבי ונגיש.</w:t>
      </w:r>
    </w:p>
    <w:p w14:paraId="389537F0" w14:textId="77777777" w:rsidR="00275650" w:rsidRDefault="00275650">
      <w:pPr>
        <w:bidi/>
        <w:spacing w:before="240" w:after="240" w:line="480" w:lineRule="auto"/>
        <w:ind w:right="420"/>
        <w:rPr>
          <w:rFonts w:ascii="David" w:eastAsia="David" w:hAnsi="David" w:cs="David"/>
          <w:b/>
          <w:sz w:val="24"/>
          <w:szCs w:val="24"/>
          <w:rtl/>
        </w:rPr>
      </w:pPr>
    </w:p>
    <w:p w14:paraId="00000009" w14:textId="1EE0FEA1" w:rsidR="00D649A5" w:rsidRDefault="00000000" w:rsidP="00275650">
      <w:pPr>
        <w:bidi/>
        <w:spacing w:before="240" w:after="240" w:line="480" w:lineRule="auto"/>
        <w:ind w:right="420"/>
        <w:rPr>
          <w:rFonts w:ascii="David" w:eastAsia="David" w:hAnsi="David" w:cs="David"/>
          <w:b/>
          <w:sz w:val="24"/>
          <w:szCs w:val="24"/>
        </w:rPr>
      </w:pPr>
      <w:r>
        <w:rPr>
          <w:rFonts w:ascii="David" w:eastAsia="David" w:hAnsi="David" w:cs="David"/>
          <w:b/>
          <w:sz w:val="24"/>
          <w:szCs w:val="24"/>
          <w:rtl/>
        </w:rPr>
        <w:lastRenderedPageBreak/>
        <w:t>ביבליוגרפיה:</w:t>
      </w:r>
    </w:p>
    <w:p w14:paraId="0000000A" w14:textId="6A96FD73" w:rsidR="00D649A5" w:rsidRDefault="00000000">
      <w:pPr>
        <w:spacing w:before="240" w:after="240" w:line="480" w:lineRule="auto"/>
        <w:ind w:left="720" w:right="42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Adams, Z. W., Milich, R., &amp; Fillmore, M. T. (2010). Examining manual and visual response inhibition among ADHD subtypes. </w:t>
      </w:r>
      <w:r>
        <w:rPr>
          <w:rFonts w:ascii="Times New Roman" w:eastAsia="Times New Roman" w:hAnsi="Times New Roman" w:cs="Times New Roman"/>
          <w:i/>
          <w:color w:val="222222"/>
          <w:sz w:val="24"/>
          <w:szCs w:val="24"/>
          <w:highlight w:val="white"/>
        </w:rPr>
        <w:t>Journal of Abnormal Child Psychology, 38</w:t>
      </w:r>
      <w:r>
        <w:rPr>
          <w:rFonts w:ascii="Times New Roman" w:eastAsia="Times New Roman" w:hAnsi="Times New Roman" w:cs="Times New Roman"/>
          <w:color w:val="222222"/>
          <w:sz w:val="24"/>
          <w:szCs w:val="24"/>
          <w:highlight w:val="white"/>
        </w:rPr>
        <w:t>(7), 971–98</w:t>
      </w:r>
      <w:r w:rsidR="003670C4">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 xml:space="preserve">3. </w:t>
      </w:r>
      <w:hyperlink r:id="rId5">
        <w:r w:rsidR="00D649A5">
          <w:rPr>
            <w:rFonts w:ascii="Times New Roman" w:eastAsia="Times New Roman" w:hAnsi="Times New Roman" w:cs="Times New Roman"/>
            <w:color w:val="1155CC"/>
            <w:sz w:val="24"/>
            <w:szCs w:val="24"/>
            <w:highlight w:val="white"/>
            <w:u w:val="single"/>
          </w:rPr>
          <w:t>https://doi.org/10.1007/s10802-010-9420-3</w:t>
        </w:r>
      </w:hyperlink>
    </w:p>
    <w:p w14:paraId="0000000B" w14:textId="77777777" w:rsidR="00D649A5" w:rsidRDefault="00000000">
      <w:pPr>
        <w:spacing w:before="240" w:after="240" w:line="480" w:lineRule="auto"/>
        <w:ind w:left="720" w:right="42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American Psychiatric Association. (2013). </w:t>
      </w:r>
      <w:r>
        <w:rPr>
          <w:rFonts w:ascii="Times New Roman" w:eastAsia="Times New Roman" w:hAnsi="Times New Roman" w:cs="Times New Roman"/>
          <w:i/>
          <w:color w:val="222222"/>
          <w:sz w:val="24"/>
          <w:szCs w:val="24"/>
          <w:highlight w:val="white"/>
        </w:rPr>
        <w:t>Diagnostic and Statistical Manual of Mental Disorders (DSM-5)</w:t>
      </w:r>
      <w:r>
        <w:rPr>
          <w:rFonts w:ascii="Times New Roman" w:eastAsia="Times New Roman" w:hAnsi="Times New Roman" w:cs="Times New Roman"/>
          <w:color w:val="222222"/>
          <w:sz w:val="24"/>
          <w:szCs w:val="24"/>
          <w:highlight w:val="white"/>
        </w:rPr>
        <w:t xml:space="preserve"> (5th Ed.). Washington, DC: American Psychiatric Association. https://doi.org/10.1176/appi.books.9780890425596.744053</w:t>
      </w:r>
    </w:p>
    <w:p w14:paraId="0000000C" w14:textId="77777777" w:rsidR="00D649A5" w:rsidRDefault="00000000">
      <w:pPr>
        <w:spacing w:before="240" w:after="240" w:line="480" w:lineRule="auto"/>
        <w:ind w:left="720" w:right="42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Hughes, C., Graham, A., &amp; Grayson, A. (2004). Executive function in childhood: Development and disorder. In J. Oates &amp; A. Grayson (Eds.), </w:t>
      </w:r>
      <w:r>
        <w:rPr>
          <w:rFonts w:ascii="Times New Roman" w:eastAsia="Times New Roman" w:hAnsi="Times New Roman" w:cs="Times New Roman"/>
          <w:i/>
          <w:color w:val="222222"/>
          <w:sz w:val="24"/>
          <w:szCs w:val="24"/>
          <w:highlight w:val="white"/>
        </w:rPr>
        <w:t>Cognitive and language development in children</w:t>
      </w:r>
      <w:r>
        <w:rPr>
          <w:rFonts w:ascii="Times New Roman" w:eastAsia="Times New Roman" w:hAnsi="Times New Roman" w:cs="Times New Roman"/>
          <w:color w:val="222222"/>
          <w:sz w:val="24"/>
          <w:szCs w:val="24"/>
          <w:highlight w:val="white"/>
        </w:rPr>
        <w:t xml:space="preserve"> (pp. 205–232). Oxford, UK: Blackwell Publishing Ltd. </w:t>
      </w:r>
    </w:p>
    <w:p w14:paraId="0000000D" w14:textId="77777777" w:rsidR="00D649A5" w:rsidRDefault="00000000">
      <w:pPr>
        <w:spacing w:before="240" w:after="240" w:line="480" w:lineRule="auto"/>
        <w:ind w:left="720" w:right="420" w:hanging="3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Rahmi, I., &amp; </w:t>
      </w:r>
      <w:proofErr w:type="spellStart"/>
      <w:r>
        <w:rPr>
          <w:rFonts w:ascii="Times New Roman" w:eastAsia="Times New Roman" w:hAnsi="Times New Roman" w:cs="Times New Roman"/>
          <w:color w:val="222222"/>
          <w:sz w:val="24"/>
          <w:szCs w:val="24"/>
          <w:highlight w:val="white"/>
        </w:rPr>
        <w:t>Wimbarti</w:t>
      </w:r>
      <w:proofErr w:type="spellEnd"/>
      <w:r>
        <w:rPr>
          <w:rFonts w:ascii="Times New Roman" w:eastAsia="Times New Roman" w:hAnsi="Times New Roman" w:cs="Times New Roman"/>
          <w:color w:val="222222"/>
          <w:sz w:val="24"/>
          <w:szCs w:val="24"/>
          <w:highlight w:val="white"/>
        </w:rPr>
        <w:t xml:space="preserve">, S. (2018). Inhibition in ADHD and non-ADHD children ages 6-12 years. </w:t>
      </w:r>
      <w:r>
        <w:rPr>
          <w:rFonts w:ascii="Times New Roman" w:eastAsia="Times New Roman" w:hAnsi="Times New Roman" w:cs="Times New Roman"/>
          <w:i/>
          <w:color w:val="222222"/>
          <w:sz w:val="24"/>
          <w:szCs w:val="24"/>
          <w:highlight w:val="white"/>
        </w:rPr>
        <w:t>International Journal of Research Studies in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 xml:space="preserve">(1), 73-85. </w:t>
      </w:r>
      <w:hyperlink r:id="rId6">
        <w:r w:rsidR="00D649A5">
          <w:rPr>
            <w:rFonts w:ascii="Times New Roman" w:eastAsia="Times New Roman" w:hAnsi="Times New Roman" w:cs="Times New Roman"/>
            <w:color w:val="222222"/>
            <w:sz w:val="24"/>
            <w:szCs w:val="24"/>
            <w:highlight w:val="white"/>
          </w:rPr>
          <w:t>https://doi.org/10.5861/ijrsp.2018.2008</w:t>
        </w:r>
      </w:hyperlink>
    </w:p>
    <w:p w14:paraId="0000000E" w14:textId="77777777" w:rsidR="00D649A5" w:rsidRDefault="00000000">
      <w:pPr>
        <w:spacing w:before="240" w:after="240" w:line="480" w:lineRule="auto"/>
        <w:ind w:left="720" w:right="42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 A. M., </w:t>
      </w:r>
      <w:proofErr w:type="spellStart"/>
      <w:r>
        <w:rPr>
          <w:rFonts w:ascii="Times New Roman" w:eastAsia="Times New Roman" w:hAnsi="Times New Roman" w:cs="Times New Roman"/>
          <w:color w:val="222222"/>
          <w:sz w:val="24"/>
          <w:szCs w:val="24"/>
        </w:rPr>
        <w:t>Capodieci</w:t>
      </w:r>
      <w:proofErr w:type="spellEnd"/>
      <w:r>
        <w:rPr>
          <w:rFonts w:ascii="Times New Roman" w:eastAsia="Times New Roman" w:hAnsi="Times New Roman" w:cs="Times New Roman"/>
          <w:color w:val="222222"/>
          <w:sz w:val="24"/>
          <w:szCs w:val="24"/>
        </w:rPr>
        <w:t xml:space="preserve">, A., &amp; </w:t>
      </w:r>
      <w:proofErr w:type="spellStart"/>
      <w:r>
        <w:rPr>
          <w:rFonts w:ascii="Times New Roman" w:eastAsia="Times New Roman" w:hAnsi="Times New Roman" w:cs="Times New Roman"/>
          <w:color w:val="222222"/>
          <w:sz w:val="24"/>
          <w:szCs w:val="24"/>
        </w:rPr>
        <w:t>Cornoldi</w:t>
      </w:r>
      <w:proofErr w:type="spellEnd"/>
      <w:r>
        <w:rPr>
          <w:rFonts w:ascii="Times New Roman" w:eastAsia="Times New Roman" w:hAnsi="Times New Roman" w:cs="Times New Roman"/>
          <w:color w:val="222222"/>
          <w:sz w:val="24"/>
          <w:szCs w:val="24"/>
        </w:rPr>
        <w:t xml:space="preserve">, C. (2015). Effect of training focused on executive functions (attention, inhibition, and working memory) in preschoolers exhibiting ADHD symptoms. </w:t>
      </w:r>
      <w:r>
        <w:rPr>
          <w:rFonts w:ascii="Times New Roman" w:eastAsia="Times New Roman" w:hAnsi="Times New Roman" w:cs="Times New Roman"/>
          <w:i/>
          <w:color w:val="222222"/>
          <w:sz w:val="24"/>
          <w:szCs w:val="24"/>
        </w:rPr>
        <w:t>Frontiers in psychology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6</w:t>
      </w:r>
      <w:r>
        <w:rPr>
          <w:rFonts w:ascii="Times New Roman" w:eastAsia="Times New Roman" w:hAnsi="Times New Roman" w:cs="Times New Roman"/>
          <w:color w:val="222222"/>
          <w:sz w:val="24"/>
          <w:szCs w:val="24"/>
        </w:rPr>
        <w:t>, 1161.</w:t>
      </w:r>
      <w:r>
        <w:rPr>
          <w:rFonts w:ascii="Times New Roman" w:eastAsia="Times New Roman" w:hAnsi="Times New Roman" w:cs="Times New Roman"/>
          <w:color w:val="222222"/>
          <w:sz w:val="24"/>
          <w:szCs w:val="24"/>
          <w:highlight w:val="white"/>
        </w:rPr>
        <w:t xml:space="preserve">‏ </w:t>
      </w:r>
      <w:hyperlink r:id="rId7">
        <w:r w:rsidR="00D649A5">
          <w:rPr>
            <w:rFonts w:ascii="Times New Roman" w:eastAsia="Times New Roman" w:hAnsi="Times New Roman" w:cs="Times New Roman"/>
            <w:color w:val="222222"/>
            <w:sz w:val="24"/>
            <w:szCs w:val="24"/>
          </w:rPr>
          <w:t>https://doi.org/10.3389/fpsyg.2015.01161</w:t>
        </w:r>
      </w:hyperlink>
    </w:p>
    <w:p w14:paraId="0000000F" w14:textId="77777777" w:rsidR="00D649A5" w:rsidRDefault="00000000">
      <w:pPr>
        <w:spacing w:before="240" w:after="240" w:line="480" w:lineRule="auto"/>
        <w:ind w:left="720" w:right="42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Sinnari</w:t>
      </w:r>
      <w:proofErr w:type="spellEnd"/>
      <w:r>
        <w:rPr>
          <w:rFonts w:ascii="Times New Roman" w:eastAsia="Times New Roman" w:hAnsi="Times New Roman" w:cs="Times New Roman"/>
          <w:sz w:val="24"/>
          <w:szCs w:val="24"/>
        </w:rPr>
        <w:t xml:space="preserve">, D., Krause, P., &amp; Abulkhair, M. (2018). Effects of E-games on the development of </w:t>
      </w:r>
      <w:proofErr w:type="spellStart"/>
      <w:r>
        <w:rPr>
          <w:rFonts w:ascii="Times New Roman" w:eastAsia="Times New Roman" w:hAnsi="Times New Roman" w:cs="Times New Roman"/>
          <w:sz w:val="24"/>
          <w:szCs w:val="24"/>
        </w:rPr>
        <w:t>saudi</w:t>
      </w:r>
      <w:proofErr w:type="spellEnd"/>
      <w:r>
        <w:rPr>
          <w:rFonts w:ascii="Times New Roman" w:eastAsia="Times New Roman" w:hAnsi="Times New Roman" w:cs="Times New Roman"/>
          <w:sz w:val="24"/>
          <w:szCs w:val="24"/>
        </w:rPr>
        <w:t xml:space="preserve"> children with attention deficit hyperactivity disorder cognitively, </w:t>
      </w:r>
      <w:proofErr w:type="spellStart"/>
      <w:r>
        <w:rPr>
          <w:rFonts w:ascii="Times New Roman" w:eastAsia="Times New Roman" w:hAnsi="Times New Roman" w:cs="Times New Roman"/>
          <w:sz w:val="24"/>
          <w:szCs w:val="24"/>
        </w:rPr>
        <w:t>behaviourally</w:t>
      </w:r>
      <w:proofErr w:type="spellEnd"/>
      <w:r>
        <w:rPr>
          <w:rFonts w:ascii="Times New Roman" w:eastAsia="Times New Roman" w:hAnsi="Times New Roman" w:cs="Times New Roman"/>
          <w:sz w:val="24"/>
          <w:szCs w:val="24"/>
        </w:rPr>
        <w:t xml:space="preserve"> and socially: an experimental study. In </w:t>
      </w:r>
      <w:r>
        <w:rPr>
          <w:rFonts w:ascii="Times New Roman" w:eastAsia="Times New Roman" w:hAnsi="Times New Roman" w:cs="Times New Roman"/>
          <w:i/>
          <w:sz w:val="24"/>
          <w:szCs w:val="24"/>
        </w:rPr>
        <w:t xml:space="preserve">Universal Access in Human-Computer Interaction. Methods, Technologies, and Users: 12th International </w:t>
      </w:r>
      <w:r>
        <w:rPr>
          <w:rFonts w:ascii="Times New Roman" w:eastAsia="Times New Roman" w:hAnsi="Times New Roman" w:cs="Times New Roman"/>
          <w:i/>
          <w:sz w:val="24"/>
          <w:szCs w:val="24"/>
        </w:rPr>
        <w:lastRenderedPageBreak/>
        <w:t>Conference, UAHCI 2018, Held as Part of HCI International 2018, Las Vegas, NV, USA, July 15-20, 2018, Proceedings, Part I 12</w:t>
      </w:r>
      <w:r>
        <w:rPr>
          <w:rFonts w:ascii="Times New Roman" w:eastAsia="Times New Roman" w:hAnsi="Times New Roman" w:cs="Times New Roman"/>
          <w:sz w:val="24"/>
          <w:szCs w:val="24"/>
        </w:rPr>
        <w:t xml:space="preserve"> (pp. 598-612). Springer International Publishing. </w:t>
      </w:r>
      <w:hyperlink r:id="rId8">
        <w:r w:rsidR="00D649A5">
          <w:rPr>
            <w:rFonts w:ascii="Times New Roman" w:eastAsia="Times New Roman" w:hAnsi="Times New Roman" w:cs="Times New Roman"/>
            <w:color w:val="1155CC"/>
            <w:sz w:val="24"/>
            <w:szCs w:val="24"/>
            <w:u w:val="single"/>
          </w:rPr>
          <w:t>https://doi.org/10.1007/978-3-319-92049-8_44</w:t>
        </w:r>
      </w:hyperlink>
    </w:p>
    <w:p w14:paraId="00000010" w14:textId="77777777" w:rsidR="00D649A5" w:rsidRDefault="00000000">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Titto, M. V., &amp; Lodder, R. A. (2022). Therapeutic Video Games for Attention Deficit Hyperactivity Disorder (ADHD). </w:t>
      </w:r>
      <w:proofErr w:type="spellStart"/>
      <w:r>
        <w:rPr>
          <w:rFonts w:ascii="Times New Roman" w:eastAsia="Times New Roman" w:hAnsi="Times New Roman" w:cs="Times New Roman"/>
          <w:i/>
          <w:sz w:val="24"/>
          <w:szCs w:val="24"/>
        </w:rPr>
        <w:t>Webmedcentral</w:t>
      </w:r>
      <w:proofErr w:type="spellEnd"/>
      <w:r>
        <w:rPr>
          <w:rFonts w:ascii="Times New Roman" w:eastAsia="Times New Roman" w:hAnsi="Times New Roman" w:cs="Times New Roman"/>
          <w:i/>
          <w:sz w:val="24"/>
          <w:szCs w:val="24"/>
        </w:rPr>
        <w:t>, 8</w:t>
      </w:r>
      <w:r>
        <w:rPr>
          <w:rFonts w:ascii="Times New Roman" w:eastAsia="Times New Roman" w:hAnsi="Times New Roman" w:cs="Times New Roman"/>
          <w:sz w:val="24"/>
          <w:szCs w:val="24"/>
        </w:rPr>
        <w:t xml:space="preserve">(11). </w:t>
      </w:r>
    </w:p>
    <w:p w14:paraId="00000011" w14:textId="77777777" w:rsidR="00D649A5" w:rsidRDefault="00000000">
      <w:pPr>
        <w:spacing w:before="240" w:after="240" w:line="480" w:lineRule="auto"/>
        <w:ind w:left="720" w:right="4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Tye, C., Asherson, P., Ashwood, K. L., Azadi, B., Bolton, P., &amp; Mcloughlin, G. (2014). Attention and inhibition in children with ASD, ADHD and comorbid ASD + ADHD: An event-related potential study. </w:t>
      </w:r>
      <w:r>
        <w:rPr>
          <w:rFonts w:ascii="Times New Roman" w:eastAsia="Times New Roman" w:hAnsi="Times New Roman" w:cs="Times New Roman"/>
          <w:i/>
          <w:sz w:val="24"/>
          <w:szCs w:val="24"/>
        </w:rPr>
        <w:t>Psychological Medicine, 44</w:t>
      </w:r>
      <w:r>
        <w:rPr>
          <w:rFonts w:ascii="Times New Roman" w:eastAsia="Times New Roman" w:hAnsi="Times New Roman" w:cs="Times New Roman"/>
          <w:sz w:val="24"/>
          <w:szCs w:val="24"/>
        </w:rPr>
        <w:t xml:space="preserve">, 1101–1116. </w:t>
      </w:r>
      <w:hyperlink r:id="rId9">
        <w:r w:rsidR="00D649A5">
          <w:rPr>
            <w:rFonts w:ascii="Times New Roman" w:eastAsia="Times New Roman" w:hAnsi="Times New Roman" w:cs="Times New Roman"/>
            <w:color w:val="1155CC"/>
            <w:sz w:val="24"/>
            <w:szCs w:val="24"/>
            <w:u w:val="single"/>
          </w:rPr>
          <w:t>https://doi.org/10.1017/S0033291713001049</w:t>
        </w:r>
      </w:hyperlink>
    </w:p>
    <w:p w14:paraId="00000012" w14:textId="77777777" w:rsidR="00D649A5" w:rsidRDefault="00D649A5">
      <w:pPr>
        <w:bidi/>
        <w:spacing w:before="240" w:after="240" w:line="480" w:lineRule="auto"/>
        <w:ind w:right="420"/>
        <w:rPr>
          <w:rFonts w:ascii="Times New Roman" w:eastAsia="Times New Roman" w:hAnsi="Times New Roman" w:cs="Times New Roman"/>
          <w:sz w:val="24"/>
          <w:szCs w:val="24"/>
        </w:rPr>
      </w:pPr>
    </w:p>
    <w:p w14:paraId="00000013" w14:textId="77777777" w:rsidR="00D649A5" w:rsidRDefault="00D649A5">
      <w:pPr>
        <w:bidi/>
        <w:spacing w:line="480" w:lineRule="auto"/>
        <w:rPr>
          <w:rFonts w:ascii="David" w:eastAsia="David" w:hAnsi="David" w:cs="David"/>
          <w:sz w:val="24"/>
          <w:szCs w:val="24"/>
        </w:rPr>
      </w:pPr>
    </w:p>
    <w:sectPr w:rsidR="00D649A5" w:rsidSect="008F0C14">
      <w:pgSz w:w="12240" w:h="15840"/>
      <w:pgMar w:top="1418" w:right="1418" w:bottom="1418"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A5"/>
    <w:rsid w:val="00275650"/>
    <w:rsid w:val="003670C4"/>
    <w:rsid w:val="00527E45"/>
    <w:rsid w:val="005F09DF"/>
    <w:rsid w:val="006644E6"/>
    <w:rsid w:val="008B4D1C"/>
    <w:rsid w:val="008F0C14"/>
    <w:rsid w:val="00BD73A2"/>
    <w:rsid w:val="00C207C2"/>
    <w:rsid w:val="00CB5EBF"/>
    <w:rsid w:val="00D649A5"/>
    <w:rsid w:val="00E637EE"/>
    <w:rsid w:val="00FB23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AFD0"/>
  <w15:docId w15:val="{F8A2240A-1EAA-4A1F-9EEE-B9C3C9F5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92049-8_44" TargetMode="External"/><Relationship Id="rId3" Type="http://schemas.openxmlformats.org/officeDocument/2006/relationships/webSettings" Target="webSettings.xml"/><Relationship Id="rId7" Type="http://schemas.openxmlformats.org/officeDocument/2006/relationships/hyperlink" Target="https://doi.org/10.3389/fpsyg.2015.011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861/ijrsp.2018.2008" TargetMode="External"/><Relationship Id="rId11" Type="http://schemas.openxmlformats.org/officeDocument/2006/relationships/theme" Target="theme/theme1.xml"/><Relationship Id="rId5" Type="http://schemas.openxmlformats.org/officeDocument/2006/relationships/hyperlink" Target="https://doi.org/10.1007/s10802-010-9420-3" TargetMode="External"/><Relationship Id="rId10" Type="http://schemas.openxmlformats.org/officeDocument/2006/relationships/fontTable" Target="fontTable.xml"/><Relationship Id="rId4" Type="http://schemas.openxmlformats.org/officeDocument/2006/relationships/hyperlink" Target="https://en.wikipedia.org/wiki/Attention_deficit_hyperactivity_disorder" TargetMode="External"/><Relationship Id="rId9" Type="http://schemas.openxmlformats.org/officeDocument/2006/relationships/hyperlink" Target="https://doi.org/10.1017/S0033291713001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3421</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Esti Waisman</dc:creator>
  <cp:lastModifiedBy>יעקב ישראל אלקובי</cp:lastModifiedBy>
  <cp:revision>7</cp:revision>
  <dcterms:created xsi:type="dcterms:W3CDTF">2024-11-19T19:03:00Z</dcterms:created>
  <dcterms:modified xsi:type="dcterms:W3CDTF">2024-11-26T21:19:00Z</dcterms:modified>
</cp:coreProperties>
</file>