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European Jewels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4.55/5.0 and 73.2% five-star reviews, this itinerary's messaging should lead with </w:t>
      </w:r>
      <w:r>
        <w:rPr>
          <w:b/>
          <w:bCs/>
          <w:sz w:val="22"/>
          <w:szCs w:val="22"/>
        </w:rPr>
        <w:t xml:space="preserve">staff and food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(98), Uniworld (AUS) (47), Uniworld (CAN) (23), Uniworld (UK) (18), Uniworld (NZ) (17), Uniworld (SA) (6). </w:t>
      </w:r>
      <w:r>
        <w:rPr>
          <w:sz w:val="22"/>
          <w:szCs w:val="22"/>
        </w:rPr>
        <w:t xml:space="preserve">Booking source: 33 direct, 170 agency. </w:t>
      </w:r>
      <w:r>
        <w:rPr>
          <w:sz w:val="22"/>
          <w:szCs w:val="22"/>
        </w:rPr>
        <w:t xml:space="preserve">Repeat guests: 5.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European Jewels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2026-03-06T13:25:02.415Z</dcterms:created>
  <dcterms:modified xsi:type="dcterms:W3CDTF">2026-03-06T13:25:02.415Z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