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India's Golden Triangle &amp; the Sacred Ganges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4.62/5.0 and 73.3% five-star reviews, this itinerary's messaging should lead with </w:t>
      </w:r>
      <w:r>
        <w:rPr>
          <w:b/>
          <w:bCs/>
          <w:sz w:val="22"/>
          <w:szCs w:val="22"/>
        </w:rPr>
        <w:t xml:space="preserve">excursions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(45), Uniworld (UK) (20), Uniworld (AUS) (7), Uniworld (CAN) (15), Uniworld (Ireland) (2), Uniworld (NZ) (1). </w:t>
      </w:r>
      <w:r>
        <w:rPr>
          <w:sz w:val="22"/>
          <w:szCs w:val="22"/>
        </w:rPr>
        <w:t xml:space="preserve">Booking source: 19 direct, 52 agency. </w:t>
      </w:r>
      <w:r>
        <w:rPr>
          <w:sz w:val="22"/>
          <w:szCs w:val="22"/>
        </w:rPr>
        <w:t xml:space="preserve">Repeat guests: 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India's Golden Triangle &amp; the Sacred Ganges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2026-03-06T13:25:01.627Z</dcterms:created>
  <dcterms:modified xsi:type="dcterms:W3CDTF">2026-03-06T13:25:01.627Z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