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Administrative decision</w:t>
      </w:r>
    </w:p>
    <w:p>
      <w:r>
        <w:t xml:space="preserve">Our reference: SYN-26-00009</w:t>
      </w:r>
    </w:p>
    <w:p>
      <w:r>
        <w:t xml:space="preserve">Matter: Appeal against a zoning decision</w:t>
      </w:r>
    </w:p>
    <w:p>
      <w:r>
        <w:t xml:space="preserve">Client: Brightwater Retail NV</w:t>
      </w:r>
    </w:p>
    <w:p>
      <w:r>
        <w:t xml:space="preserve">Counterparty: Municipality of Orrinford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Municipality of Orrinford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Date of the facts: October 19, 2025</w:t>
      </w:r>
    </w:p>
    <w:p>
      <w:r>
        <w:t xml:space="preserve">Date of this letter: October 29, 2025</w:t>
      </w:r>
    </w:p>
    <w:p>
      <w:r>
        <w:t xml:space="preserve">Reply by: November 19, 2025</w:t>
      </w:r>
    </w:p>
    <w:p>
      <w:r>
        <w:t xml:space="preserve">Amount claimed: 12 042,00 euros</w:t>
      </w:r>
    </w:p>
    <w:p>
      <w:r>
        <w:t xml:space="preserve">Late interest: 462,63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