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SYN-26-00019</w:t>
      </w:r>
    </w:p>
    <w:p>
      <w:r>
        <w:t xml:space="preserve">Subject: Early termination of the cleaning contract</w:t>
      </w:r>
    </w:p>
    <w:p>
      <w:r>
        <w:t xml:space="preserve">Client: Thornlea Print BV</w:t>
      </w:r>
    </w:p>
    <w:p>
      <w:r>
        <w:t xml:space="preserve">Respondent: Lindenbrook Consulting SA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Thornlea Print BV and Lindenbrook Consulting SA signed a cleaning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24/11/2025</w:t>
      </w:r>
    </w:p>
    <w:p>
      <w:r>
        <w:t xml:space="preserve">Date of this letter: 27/12/2025</w:t>
      </w:r>
    </w:p>
    <w:p>
      <w:r>
        <w:t xml:space="preserve">Response deadline: 17/01/2026</w:t>
      </w:r>
    </w:p>
    <w:p>
      <w:r>
        <w:t xml:space="preserve">Amount claimed: € 94.667,00</w:t>
      </w:r>
    </w:p>
    <w:p>
      <w:r>
        <w:t xml:space="preserve">Late interest: € 5.746,06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