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Invoice dispute letter</w:t>
      </w:r>
    </w:p>
    <w:p>
      <w:r>
        <w:t xml:space="preserve">File number: SYN-26-00028</w:t>
      </w:r>
    </w:p>
    <w:p>
      <w:r>
        <w:t xml:space="preserve">Subject: Disputed delivery of IT hardware</w:t>
      </w:r>
    </w:p>
    <w:p>
      <w:r>
        <w:t xml:space="preserve">On behalf of: Brookhollow Retail SA</w:t>
      </w:r>
    </w:p>
    <w:p>
      <w:r>
        <w:t xml:space="preserve">Opposing party: Oakhaven Mobility NV</w:t>
      </w:r>
    </w:p>
    <w:p>
      <w:r>
        <w:t xml:space="preserve"/>
      </w:r>
    </w:p>
    <w:p>
      <w:r>
        <w:t xml:space="preserve">Our client delivered IT hardware to Oakhaven Mobility NV under several purchase orders.</w:t>
      </w:r>
    </w:p>
    <w:p>
      <w:r>
        <w:t xml:space="preserve">The invoices remain unpaid despite two payment reminders.</w:t>
      </w:r>
    </w:p>
    <w:p>
      <w:r>
        <w:t xml:space="preserve">The customer has not raised any complaint about the goods within the agreed period.</w:t>
      </w:r>
    </w:p>
    <w:p>
      <w:r>
        <w:t xml:space="preserve">The matter may be brought before the Ghent Enterprise Court.</w:t>
      </w:r>
    </w:p>
    <w:p>
      <w:r>
        <w:t xml:space="preserve"/>
      </w:r>
    </w:p>
    <w:p>
      <w:r>
        <w:t xml:space="preserve">Date of incident: 26 February 2026</w:t>
      </w:r>
    </w:p>
    <w:p>
      <w:r>
        <w:t xml:space="preserve">Date of this letter: 15 April 2026</w:t>
      </w:r>
    </w:p>
    <w:p>
      <w:r>
        <w:t xml:space="preserve">Response deadline: 15 May 2026</w:t>
      </w:r>
    </w:p>
    <w:p>
      <w:r>
        <w:t xml:space="preserve">Principal amount: € 2.438,50</w:t>
      </w:r>
    </w:p>
    <w:p>
      <w:r>
        <w:t xml:space="preserve">Late interest: € 83,01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