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Reference: SYN-26-00031</w:t>
      </w:r>
    </w:p>
    <w:p>
      <w:r>
        <w:t xml:space="preserve">Subject: Appeal against a zoning decision</w:t>
      </w:r>
    </w:p>
    <w:p>
      <w:r>
        <w:t xml:space="preserve">On behalf of: Redcliff Construction SA</w:t>
      </w:r>
    </w:p>
    <w:p>
      <w:r>
        <w:t xml:space="preserve">Opposing party: Municipality of Aldenmere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Municipality of Aldenmere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22.03.2026</w:t>
      </w:r>
    </w:p>
    <w:p>
      <w:r>
        <w:t xml:space="preserve">Notice date: 23.04.2026</w:t>
      </w:r>
    </w:p>
    <w:p>
      <w:r>
        <w:t xml:space="preserve">Response deadline: 14.05.2026</w:t>
      </w:r>
    </w:p>
    <w:p>
      <w:r>
        <w:t xml:space="preserve">Principal amount: 10 987,00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