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Our reference: SYN-26-00041</w:t>
      </w:r>
    </w:p>
    <w:p>
      <w:r>
        <w:t xml:space="preserve">Subject: Early termination of the facility management contract</w:t>
      </w:r>
    </w:p>
    <w:p>
      <w:r>
        <w:t xml:space="preserve">Client: Silverbirch Construction NV</w:t>
      </w:r>
    </w:p>
    <w:p>
      <w:r>
        <w:t xml:space="preserve">Counterparty: Brightwater Facilities NV</w:t>
      </w:r>
    </w:p>
    <w:p>
      <w:r>
        <w:t xml:space="preserve">Jurisdiction: Antwerp Enterprise Court</w:t>
      </w:r>
    </w:p>
    <w:p>
      <w:r>
        <w:t xml:space="preserve"/>
      </w:r>
    </w:p>
    <w:p>
      <w:r>
        <w:t xml:space="preserve">Silverbirch Construction NV and Brightwater Facilities NV signed a facility management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Incident date: 28.09.2025</w:t>
      </w:r>
    </w:p>
    <w:p>
      <w:r>
        <w:t xml:space="preserve">Date of this letter: 11.11.2025</w:t>
      </w:r>
    </w:p>
    <w:p>
      <w:r>
        <w:t xml:space="preserve">Reply by: 26.11.2025</w:t>
      </w:r>
    </w:p>
    <w:p>
      <w:r>
        <w:t xml:space="preserve">Hearing date: 17.01.2026</w:t>
      </w:r>
    </w:p>
    <w:p>
      <w:r>
        <w:t xml:space="preserve">Amount claimed: 44 811,00 euros</w:t>
      </w:r>
    </w:p>
    <w:p>
      <w:r>
        <w:t xml:space="preserve">Late interest: 3 359,87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