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Our reference: SYN-26-00045</w:t>
      </w:r>
    </w:p>
    <w:p>
      <w:r>
        <w:t xml:space="preserve">Matter: Breach of the marketing service agreement</w:t>
      </w:r>
    </w:p>
    <w:p>
      <w:r>
        <w:t xml:space="preserve">Client: Orrinford Facilities BV</w:t>
      </w:r>
    </w:p>
    <w:p>
      <w:r>
        <w:t xml:space="preserve">Opposing party: Veldon Digital NV</w:t>
      </w:r>
    </w:p>
    <w:p>
      <w:r>
        <w:t xml:space="preserve">Jurisdiction: Antwerp Enterprise Court</w:t>
      </w:r>
    </w:p>
    <w:p>
      <w:r>
        <w:t xml:space="preserve"/>
      </w:r>
    </w:p>
    <w:p>
      <w:r>
        <w:t xml:space="preserve">Orrinford Facilities BV and Veldon Digital NV signed a marketing service agreement.</w:t>
      </w:r>
    </w:p>
    <w:p>
      <w:r>
        <w:t xml:space="preserve">Our client considers that the termination clause was applied without the required notice, which amounts to a breach of contract.</w:t>
      </w:r>
    </w:p>
    <w:p>
      <w:r>
        <w:t xml:space="preserve">The contractual penalty clause is invoked for non-performance.</w:t>
      </w:r>
    </w:p>
    <w:p>
      <w:r>
        <w:t xml:space="preserve"/>
      </w:r>
    </w:p>
    <w:p>
      <w:r>
        <w:t xml:space="preserve">Date of the facts: September 10, 2025</w:t>
      </w:r>
    </w:p>
    <w:p>
      <w:r>
        <w:t xml:space="preserve">Notice date: September 28, 2025</w:t>
      </w:r>
    </w:p>
    <w:p>
      <w:r>
        <w:t xml:space="preserve">Reply by: October 28, 2025</w:t>
      </w:r>
    </w:p>
    <w:p>
      <w:r>
        <w:t xml:space="preserve">Amount claimed: 42 246,00 euros</w:t>
      </w:r>
    </w:p>
    <w:p>
      <w:r>
        <w:t xml:space="preserve">Late interest: 1 578,50 euros</w:t>
      </w:r>
    </w:p>
    <w:p>
      <w:r>
        <w:t xml:space="preserve">Contractual penalty: 4 224,60 euros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