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SYN-26-00052</w:t>
      </w:r>
    </w:p>
    <w:p>
      <w:r>
        <w:t xml:space="preserve">Subject: Unpaid overtime claim</w:t>
      </w:r>
    </w:p>
    <w:p>
      <w:r>
        <w:t xml:space="preserve">On behalf of: Sanne Delacroixe</w:t>
      </w:r>
    </w:p>
    <w:p>
      <w:r>
        <w:t xml:space="preserve">Respondent: Greywood Logistics NV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Greywood Logistics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October 16, 2025</w:t>
      </w:r>
    </w:p>
    <w:p>
      <w:r>
        <w:t xml:space="preserve">Notice date: November 10, 2025</w:t>
      </w:r>
    </w:p>
    <w:p>
      <w:r>
        <w:t xml:space="preserve">Response deadline: November 25, 2025</w:t>
      </w:r>
    </w:p>
    <w:p>
      <w:r>
        <w:t xml:space="preserve">Hearing date: February 20, 2026</w:t>
      </w:r>
    </w:p>
    <w:p>
      <w:r>
        <w:t xml:space="preserve">Principal amount: € 10.767,40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