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Administrative decision</w:t>
      </w:r>
    </w:p>
    <w:p>
      <w:r>
        <w:t xml:space="preserve">File number: SYN-26-00060</w:t>
      </w:r>
    </w:p>
    <w:p>
      <w:r>
        <w:t xml:space="preserve">Matter: Contested municipal fine</w:t>
      </w:r>
    </w:p>
    <w:p>
      <w:r>
        <w:t xml:space="preserve">Client: Greywood Mobility BV</w:t>
      </w:r>
    </w:p>
    <w:p>
      <w:r>
        <w:t xml:space="preserve">Counterparty: Municipality of Thornlea</w:t>
      </w:r>
    </w:p>
    <w:p>
      <w:r>
        <w:t xml:space="preserve">Competent court: Namur Court of First Instance</w:t>
      </w:r>
    </w:p>
    <w:p>
      <w:r>
        <w:t xml:space="preserve"/>
      </w:r>
    </w:p>
    <w:p>
      <w:r>
        <w:t xml:space="preserve">Municipality of Thornlea issued an administrative decision concerning our client.</w:t>
      </w:r>
    </w:p>
    <w:p>
      <w:r>
        <w:t xml:space="preserve">The permit application was refused and a fine was imposed by the public authority.</w:t>
      </w:r>
    </w:p>
    <w:p>
      <w:r>
        <w:t xml:space="preserve">Our client contests the zoning grounds relied upon.</w:t>
      </w:r>
    </w:p>
    <w:p>
      <w:r>
        <w:t xml:space="preserve"/>
      </w:r>
    </w:p>
    <w:p>
      <w:r>
        <w:t xml:space="preserve">Date of incident: 13 January 2026</w:t>
      </w:r>
    </w:p>
    <w:p>
      <w:r>
        <w:t xml:space="preserve">Notice date: 17 February 2026</w:t>
      </w:r>
    </w:p>
    <w:p>
      <w:r>
        <w:t xml:space="preserve">Reply by: 4 March 2026</w:t>
      </w:r>
    </w:p>
    <w:p>
      <w:r>
        <w:t xml:space="preserve">Hearing date: 26 May 2026</w:t>
      </w:r>
    </w:p>
    <w:p>
      <w:r>
        <w:t xml:space="preserve">Principal amount: € 11.008,00</w:t>
      </w:r>
    </w:p>
    <w:p>
      <w:r>
        <w:t xml:space="preserve">Late interest: € 808,47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