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Shareholder letter</w:t>
      </w:r>
    </w:p>
    <w:p>
      <w:r>
        <w:t xml:space="preserve">File number: SYN-26-00061</w:t>
      </w:r>
    </w:p>
    <w:p>
      <w:r>
        <w:t xml:space="preserve">Matter: Contested board resolution</w:t>
      </w:r>
    </w:p>
    <w:p>
      <w:r>
        <w:t xml:space="preserve">On behalf of: Wexmoor Foods NV</w:t>
      </w:r>
    </w:p>
    <w:p>
      <w:r>
        <w:t xml:space="preserve">Opposing party: Maxime Brecquet</w:t>
      </w:r>
    </w:p>
    <w:p>
      <w:r>
        <w:t xml:space="preserve">Jurisdiction: Ghent Enterprise Court</w:t>
      </w:r>
    </w:p>
    <w:p>
      <w:r>
        <w:t xml:space="preserve"/>
      </w:r>
    </w:p>
    <w:p>
      <w:r>
        <w:t xml:space="preserve">Our client is a shareholder of a company in which Maxime Brecquet is a director.</w:t>
      </w:r>
    </w:p>
    <w:p>
      <w:r>
        <w:t xml:space="preserve">The board adopted a resolution on a share transfer without convening the general meeting.</w:t>
      </w:r>
    </w:p>
    <w:p>
      <w:r>
        <w:t xml:space="preserve">The articles of association require the approval of the shareholders.</w:t>
      </w:r>
    </w:p>
    <w:p>
      <w:r>
        <w:t xml:space="preserve"/>
      </w:r>
    </w:p>
    <w:p>
      <w:r>
        <w:t xml:space="preserve">Date of the facts: 17.12.2025</w:t>
      </w:r>
    </w:p>
    <w:p>
      <w:r>
        <w:t xml:space="preserve">Notice date: 18.01.2026</w:t>
      </w:r>
    </w:p>
    <w:p>
      <w:r>
        <w:t xml:space="preserve">Response deadline: 17.02.2026</w:t>
      </w:r>
    </w:p>
    <w:p>
      <w:r>
        <w:t xml:space="preserve">Principal amount: 64.360,00 EUR</w:t>
      </w:r>
    </w:p>
    <w:p>
      <w:r>
        <w:t xml:space="preserve">Late interest: 2.965,05 EUR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