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SYN-26-00085</w:t>
      </w:r>
    </w:p>
    <w:p>
      <w:r>
        <w:t xml:space="preserve">Subject: Late payment for delivered IT hardware</w:t>
      </w:r>
    </w:p>
    <w:p>
      <w:r>
        <w:t xml:space="preserve">On behalf of: Harbourline Foods BV</w:t>
      </w:r>
    </w:p>
    <w:p>
      <w:r>
        <w:t xml:space="preserve">Opposing party: Redcliff Mobility NV</w:t>
      </w:r>
    </w:p>
    <w:p>
      <w:r>
        <w:t xml:space="preserve">Competent court: Leuven Justice of the Peace</w:t>
      </w:r>
    </w:p>
    <w:p>
      <w:r>
        <w:t xml:space="preserve"/>
      </w:r>
    </w:p>
    <w:p>
      <w:r>
        <w:t xml:space="preserve">Our client delivered IT hardware to Redcliff Mobility NV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the facts: 20/10/2025</w:t>
      </w:r>
    </w:p>
    <w:p>
      <w:r>
        <w:t xml:space="preserve">Notice date: 14/11/2025</w:t>
      </w:r>
    </w:p>
    <w:p>
      <w:r>
        <w:t xml:space="preserve">Response deadline: 29/11/2025</w:t>
      </w:r>
    </w:p>
    <w:p>
      <w:r>
        <w:t xml:space="preserve">Amount claimed: EUR 7,772.25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