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SYN-26-00110</w:t>
      </w:r>
    </w:p>
    <w:p>
      <w:r>
        <w:t xml:space="preserve">Matter: Late payment for delivered cardboard packaging</w:t>
      </w:r>
    </w:p>
    <w:p>
      <w:r>
        <w:t xml:space="preserve">Client: Ambermoor Construction NV</w:t>
      </w:r>
    </w:p>
    <w:p>
      <w:r>
        <w:t xml:space="preserve">Respondent: Kestrelpoint Foods SA</w:t>
      </w:r>
    </w:p>
    <w:p>
      <w:r>
        <w:t xml:space="preserve">Jurisdiction: Antwerp Enterprise Court</w:t>
      </w:r>
    </w:p>
    <w:p>
      <w:r>
        <w:t xml:space="preserve"/>
      </w:r>
    </w:p>
    <w:p>
      <w:r>
        <w:t xml:space="preserve">Our client supplied cardboard, cardboard sleeves and cardboard trays to Kestrelpoint Foods SA.</w:t>
      </w:r>
    </w:p>
    <w:p>
      <w:r>
        <w:t xml:space="preserve">The cardboard was accepted on receipt and stored in cardboard crates; the cardboard specification was met.</w:t>
      </w:r>
    </w:p>
    <w:p>
      <w:r>
        <w:t xml:space="preserve">Kestrelpoint Foods SA has not paid the related invoices.</w:t>
      </w:r>
    </w:p>
    <w:p>
      <w:r>
        <w:t xml:space="preserve"/>
      </w:r>
    </w:p>
    <w:p>
      <w:r>
        <w:t xml:space="preserve">Date of incident: 15 September 2025</w:t>
      </w:r>
    </w:p>
    <w:p>
      <w:r>
        <w:t xml:space="preserve">Notice date: 11 October 2025</w:t>
      </w:r>
    </w:p>
    <w:p>
      <w:r>
        <w:t xml:space="preserve">Reply by: 26 October 2025</w:t>
      </w:r>
    </w:p>
    <w:p>
      <w:r>
        <w:t xml:space="preserve">Amount claimed: EUR 52,823.25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