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SYN-26-00137</w:t>
      </w:r>
    </w:p>
    <w:p>
      <w:r>
        <w:t xml:space="preserve">Subject: Unpaid invoices for IT hardware</w:t>
      </w:r>
    </w:p>
    <w:p>
      <w:r>
        <w:t xml:space="preserve">Client: Silverbirch Systems BV</w:t>
      </w:r>
    </w:p>
    <w:p>
      <w:r>
        <w:t xml:space="preserve">Respondent: Greywood Foods NV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delivered IT hardware to Greywood Foods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Incident date: 22/04/2026</w:t>
      </w:r>
    </w:p>
    <w:p>
      <w:r>
        <w:t xml:space="preserve">Date of this letter: 17/05/2026</w:t>
      </w:r>
    </w:p>
    <w:p>
      <w:r>
        <w:t xml:space="preserve">Response deadline: 07/06/2026</w:t>
      </w:r>
    </w:p>
    <w:p>
      <w:r>
        <w:t xml:space="preserve">Hearing date: 01/09/2026</w:t>
      </w:r>
    </w:p>
    <w:p>
      <w:r>
        <w:t xml:space="preserve">Principal amount: € 16.768,00</w:t>
      </w:r>
    </w:p>
    <w:p>
      <w:r>
        <w:t xml:space="preserve">Late interest: € 628,59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