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SYN-26-00141</w:t>
      </w:r>
    </w:p>
    <w:p>
      <w:r>
        <w:t xml:space="preserve">Matter: Contested municipal fine</w:t>
      </w:r>
    </w:p>
    <w:p>
      <w:r>
        <w:t xml:space="preserve">Client: Calloway Vale Retail NV</w:t>
      </w:r>
    </w:p>
    <w:p>
      <w:r>
        <w:t xml:space="preserve">Opposing party: Municipality of Westrook</w:t>
      </w:r>
    </w:p>
    <w:p>
      <w:r>
        <w:t xml:space="preserve">Jurisdiction: Namur Court of First Instance</w:t>
      </w:r>
    </w:p>
    <w:p>
      <w:r>
        <w:t xml:space="preserve"/>
      </w:r>
    </w:p>
    <w:p>
      <w:r>
        <w:t xml:space="preserve">Municipality of Westrook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Incident date: October 4, 2025</w:t>
      </w:r>
    </w:p>
    <w:p>
      <w:r>
        <w:t xml:space="preserve">Notice date: November 10, 2025</w:t>
      </w:r>
    </w:p>
    <w:p>
      <w:r>
        <w:t xml:space="preserve">Response deadline: November 25, 2025</w:t>
      </w:r>
    </w:p>
    <w:p>
      <w:r>
        <w:t xml:space="preserve">Amount claimed: 12.166,00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