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File number: SYN-26-00155</w:t>
      </w:r>
    </w:p>
    <w:p>
      <w:r>
        <w:t xml:space="preserve">Subject: Non-performance under the software maintenance agreement</w:t>
      </w:r>
    </w:p>
    <w:p>
      <w:r>
        <w:t xml:space="preserve">On behalf of: Greywood Interiors NV</w:t>
      </w:r>
    </w:p>
    <w:p>
      <w:r>
        <w:t xml:space="preserve">Counterparty: Harbourline Retail SA</w:t>
      </w:r>
    </w:p>
    <w:p>
      <w:r>
        <w:t xml:space="preserve">Jurisdiction: Antwerp Enterprise Court</w:t>
      </w:r>
    </w:p>
    <w:p>
      <w:r>
        <w:t xml:space="preserve"/>
      </w:r>
    </w:p>
    <w:p>
      <w:r>
        <w:t xml:space="preserve">Greywood Interiors NV and Harbourline Retail SA signed a software maintenance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Date of the facts: 19/03/2026</w:t>
      </w:r>
    </w:p>
    <w:p>
      <w:r>
        <w:t xml:space="preserve">Date of this letter: 04/04/2026</w:t>
      </w:r>
    </w:p>
    <w:p>
      <w:r>
        <w:t xml:space="preserve">Reply by: 19/04/2026</w:t>
      </w:r>
    </w:p>
    <w:p>
      <w:r>
        <w:t xml:space="preserve">Hearing date: 01/07/2026</w:t>
      </w:r>
    </w:p>
    <w:p>
      <w:r>
        <w:t xml:space="preserve">Amount claimed: € 90.342,00</w:t>
      </w:r>
    </w:p>
    <w:p>
      <w:r>
        <w:t xml:space="preserve">Late interest: € 7.133,01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