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SYN-26-00163</w:t>
      </w:r>
    </w:p>
    <w:p>
      <w:r>
        <w:t xml:space="preserve">Subject: Unpaid overtime claim</w:t>
      </w:r>
    </w:p>
    <w:p>
      <w:r>
        <w:t xml:space="preserve">Client: Lotte Rondeaux</w:t>
      </w:r>
    </w:p>
    <w:p>
      <w:r>
        <w:t xml:space="preserve">Respondent: Quillfield Construction NV</w:t>
      </w:r>
    </w:p>
    <w:p>
      <w:r>
        <w:t xml:space="preserve"/>
      </w:r>
    </w:p>
    <w:p>
      <w:r>
        <w:t xml:space="preserve">Our client was an employee of Quillfield Construction NV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>The matter may be brought before the Brussels Labour Court.</w:t>
      </w:r>
    </w:p>
    <w:p>
      <w:r>
        <w:t xml:space="preserve"/>
      </w:r>
    </w:p>
    <w:p>
      <w:r>
        <w:t xml:space="preserve">Date of the facts: September 4, 2025</w:t>
      </w:r>
    </w:p>
    <w:p>
      <w:r>
        <w:t xml:space="preserve">Notice date: September 17, 2025</w:t>
      </w:r>
    </w:p>
    <w:p>
      <w:r>
        <w:t xml:space="preserve">Response deadline: October 2, 2025</w:t>
      </w:r>
    </w:p>
    <w:p>
      <w:r>
        <w:t xml:space="preserve">Hearing date: November 9, 2025</w:t>
      </w:r>
    </w:p>
    <w:p>
      <w:r>
        <w:t xml:space="preserve">Principal amount: € 18.616,40</w:t>
      </w:r>
    </w:p>
    <w:p>
      <w:r>
        <w:t xml:space="preserve">Late interest: € 1.202,53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