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SYN-26-00167</w:t>
      </w:r>
    </w:p>
    <w:p>
      <w:r>
        <w:t xml:space="preserve">Subject: Breach of the software maintenance service agreement</w:t>
      </w:r>
    </w:p>
    <w:p>
      <w:r>
        <w:t xml:space="preserve">On behalf of: Redcliff Packaging SRL</w:t>
      </w:r>
    </w:p>
    <w:p>
      <w:r>
        <w:t xml:space="preserve">Opposing party: Silverbirch Studios SRL</w:t>
      </w:r>
    </w:p>
    <w:p>
      <w:r>
        <w:t xml:space="preserve">Competent court: Antwerp Enterprise Court</w:t>
      </w:r>
    </w:p>
    <w:p>
      <w:r>
        <w:t xml:space="preserve"/>
      </w:r>
    </w:p>
    <w:p>
      <w:r>
        <w:t xml:space="preserve">Redcliff Packaging SRL and Silverbirch Studios SRL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Incident date: 27/11/2025</w:t>
      </w:r>
    </w:p>
    <w:p>
      <w:r>
        <w:t xml:space="preserve">Date of this letter: 02/01/2026</w:t>
      </w:r>
    </w:p>
    <w:p>
      <w:r>
        <w:t xml:space="preserve">Reply by: 17/01/2026</w:t>
      </w:r>
    </w:p>
    <w:p>
      <w:r>
        <w:t xml:space="preserve">Hearing date: 01/04/2026</w:t>
      </w:r>
    </w:p>
    <w:p>
      <w:r>
        <w:t xml:space="preserve">Amount claimed: EUR 66,861.00</w:t>
      </w:r>
    </w:p>
    <w:p>
      <w:r>
        <w:t xml:space="preserve">Late interest: EUR 4,259.57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