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SYN-26-00174</w:t>
      </w:r>
    </w:p>
    <w:p>
      <w:r>
        <w:t xml:space="preserve">Matter: Appeal against a permit refusal</w:t>
      </w:r>
    </w:p>
    <w:p>
      <w:r>
        <w:t xml:space="preserve">On behalf of: Oakhaven Digital NV</w:t>
      </w:r>
    </w:p>
    <w:p>
      <w:r>
        <w:t xml:space="preserve">Counterparty: Municipality of Thornlea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Municipality of Thornlea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8 December 2025</w:t>
      </w:r>
    </w:p>
    <w:p>
      <w:r>
        <w:t xml:space="preserve">Date of this letter: 24 December 2025</w:t>
      </w:r>
    </w:p>
    <w:p>
      <w:r>
        <w:t xml:space="preserve">Reply by: 14 January 2026</w:t>
      </w:r>
    </w:p>
    <w:p>
      <w:r>
        <w:t xml:space="preserve">Principal amount: EUR 4,948.00</w:t>
      </w:r>
    </w:p>
    <w:p>
      <w:r>
        <w:t xml:space="preserve">Late interest: EUR 135.48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