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Reference: SYN-26-00177</w:t>
      </w:r>
    </w:p>
    <w:p>
      <w:r>
        <w:t xml:space="preserve">Matter: Disputed delivery of office furniture</w:t>
      </w:r>
    </w:p>
    <w:p>
      <w:r>
        <w:t xml:space="preserve">Client: Veldon Interiors NV</w:t>
      </w:r>
    </w:p>
    <w:p>
      <w:r>
        <w:t xml:space="preserve">Respondent: Calloway Vale Systems NV</w:t>
      </w:r>
    </w:p>
    <w:p>
      <w:r>
        <w:t xml:space="preserve">Competent court: Leuven Justice of the Peace</w:t>
      </w:r>
    </w:p>
    <w:p>
      <w:r>
        <w:t xml:space="preserve"/>
      </w:r>
    </w:p>
    <w:p>
      <w:r>
        <w:t xml:space="preserve">Our client delivered office furniture to Calloway Vale Systems NV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Incident date: 27.04.2026</w:t>
      </w:r>
    </w:p>
    <w:p>
      <w:r>
        <w:t xml:space="preserve">Notice date: 08.05.2026</w:t>
      </w:r>
    </w:p>
    <w:p>
      <w:r>
        <w:t xml:space="preserve">Reply by: 07.06.2026</w:t>
      </w:r>
    </w:p>
    <w:p>
      <w:r>
        <w:t xml:space="preserve">Amount claimed: 50.109,50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